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8AD2" w14:textId="2678982E" w:rsidR="00CB1221" w:rsidRDefault="00CB1221" w:rsidP="00CB1221">
      <w:pPr>
        <w:pStyle w:val="BodyText"/>
        <w:spacing w:after="0" w:line="276" w:lineRule="auto"/>
        <w:rPr>
          <w:b/>
          <w:bCs/>
          <w:color w:val="0C818F"/>
          <w:sz w:val="36"/>
          <w:szCs w:val="36"/>
          <w:lang w:eastAsia="en-NZ"/>
        </w:rPr>
      </w:pPr>
      <w:bookmarkStart w:id="0" w:name="PreFooterLocation"/>
      <w:r w:rsidRPr="000F1717">
        <w:rPr>
          <w:b/>
          <w:bCs/>
          <w:color w:val="0C818F"/>
          <w:sz w:val="36"/>
          <w:szCs w:val="36"/>
          <w:lang w:eastAsia="en-NZ"/>
        </w:rPr>
        <w:t>S</w:t>
      </w:r>
      <w:bookmarkEnd w:id="0"/>
      <w:r w:rsidRPr="000F1717">
        <w:rPr>
          <w:b/>
          <w:bCs/>
          <w:color w:val="0C818F"/>
          <w:sz w:val="36"/>
          <w:szCs w:val="36"/>
          <w:lang w:eastAsia="en-NZ"/>
        </w:rPr>
        <w:t xml:space="preserve">mokefree 2025 Innovation Grant </w:t>
      </w:r>
      <w:r w:rsidR="00111A86">
        <w:rPr>
          <w:b/>
          <w:bCs/>
          <w:color w:val="0C818F"/>
          <w:sz w:val="36"/>
          <w:szCs w:val="36"/>
          <w:lang w:eastAsia="en-NZ"/>
        </w:rPr>
        <w:t xml:space="preserve">Application </w:t>
      </w:r>
      <w:r>
        <w:rPr>
          <w:b/>
          <w:bCs/>
          <w:color w:val="0C818F"/>
          <w:sz w:val="36"/>
          <w:szCs w:val="36"/>
          <w:lang w:eastAsia="en-NZ"/>
        </w:rPr>
        <w:t>Evaluation</w:t>
      </w:r>
      <w:r w:rsidR="00111A86">
        <w:rPr>
          <w:b/>
          <w:bCs/>
          <w:color w:val="0C818F"/>
          <w:sz w:val="36"/>
          <w:szCs w:val="36"/>
          <w:lang w:eastAsia="en-NZ"/>
        </w:rPr>
        <w:t>s</w:t>
      </w:r>
      <w:r>
        <w:rPr>
          <w:b/>
          <w:bCs/>
          <w:color w:val="0C818F"/>
          <w:sz w:val="36"/>
          <w:szCs w:val="36"/>
          <w:lang w:eastAsia="en-NZ"/>
        </w:rPr>
        <w:t xml:space="preserve"> </w:t>
      </w:r>
    </w:p>
    <w:p w14:paraId="2E381BFB" w14:textId="7851DE8D" w:rsidR="00CB1221" w:rsidRPr="00CB1221" w:rsidRDefault="00CB1221" w:rsidP="00CB1221">
      <w:pPr>
        <w:pStyle w:val="BodyText"/>
        <w:spacing w:after="0" w:line="276" w:lineRule="auto"/>
        <w:rPr>
          <w:b/>
          <w:bCs/>
          <w:color w:val="0C818F"/>
          <w:sz w:val="20"/>
          <w:szCs w:val="20"/>
        </w:rPr>
      </w:pPr>
    </w:p>
    <w:p w14:paraId="4CBAA9D1" w14:textId="77777777" w:rsidR="00CB1221" w:rsidRPr="00CB1221" w:rsidRDefault="00CB1221" w:rsidP="00CB1221">
      <w:pPr>
        <w:pStyle w:val="BodyText"/>
        <w:spacing w:before="120" w:after="120" w:line="276" w:lineRule="auto"/>
        <w:rPr>
          <w:b/>
          <w:bCs/>
          <w:color w:val="193D64"/>
          <w:sz w:val="32"/>
          <w:szCs w:val="32"/>
        </w:rPr>
      </w:pPr>
      <w:r w:rsidRPr="00CB1221">
        <w:rPr>
          <w:b/>
          <w:bCs/>
          <w:color w:val="193D64"/>
          <w:sz w:val="32"/>
          <w:szCs w:val="32"/>
        </w:rPr>
        <w:t>Evaluation criteria</w:t>
      </w:r>
    </w:p>
    <w:p w14:paraId="3011A838" w14:textId="70CBFE06" w:rsidR="00CB1221" w:rsidRDefault="00CB1221" w:rsidP="00CB1221">
      <w:pPr>
        <w:spacing w:before="120" w:after="120"/>
        <w:jc w:val="both"/>
        <w:rPr>
          <w:rFonts w:cs="Arial"/>
          <w:sz w:val="20"/>
          <w:szCs w:val="20"/>
        </w:rPr>
      </w:pPr>
      <w:r>
        <w:rPr>
          <w:rFonts w:cs="Arial"/>
          <w:sz w:val="20"/>
          <w:szCs w:val="20"/>
          <w:lang w:val="en-US"/>
        </w:rPr>
        <w:t>Applications</w:t>
      </w:r>
      <w:r w:rsidRPr="0081681D">
        <w:rPr>
          <w:rFonts w:cs="Arial"/>
          <w:sz w:val="20"/>
          <w:szCs w:val="20"/>
          <w:lang w:val="en-US"/>
        </w:rPr>
        <w:t xml:space="preserve"> will be evaluated</w:t>
      </w:r>
      <w:r>
        <w:rPr>
          <w:rFonts w:cs="Arial"/>
          <w:sz w:val="20"/>
          <w:szCs w:val="20"/>
          <w:lang w:val="en-US"/>
        </w:rPr>
        <w:t>, by the panel</w:t>
      </w:r>
      <w:r w:rsidR="008F160A">
        <w:rPr>
          <w:rFonts w:cs="Arial"/>
          <w:sz w:val="20"/>
          <w:szCs w:val="20"/>
          <w:lang w:val="en-US"/>
        </w:rPr>
        <w:t>(s)</w:t>
      </w:r>
      <w:r>
        <w:rPr>
          <w:rFonts w:cs="Arial"/>
          <w:sz w:val="20"/>
          <w:szCs w:val="20"/>
          <w:lang w:val="en-US"/>
        </w:rPr>
        <w:t>,</w:t>
      </w:r>
      <w:r w:rsidRPr="0081681D">
        <w:rPr>
          <w:rFonts w:cs="Arial"/>
          <w:sz w:val="20"/>
          <w:szCs w:val="20"/>
          <w:lang w:val="en-US"/>
        </w:rPr>
        <w:t xml:space="preserve"> on their merits using the following</w:t>
      </w:r>
      <w:r>
        <w:rPr>
          <w:rFonts w:cs="Arial"/>
          <w:sz w:val="20"/>
          <w:szCs w:val="20"/>
          <w:lang w:val="en-US"/>
        </w:rPr>
        <w:t xml:space="preserve"> </w:t>
      </w:r>
      <w:r w:rsidRPr="0081681D">
        <w:rPr>
          <w:rFonts w:cs="Arial"/>
          <w:sz w:val="20"/>
          <w:szCs w:val="20"/>
          <w:lang w:val="en-US"/>
        </w:rPr>
        <w:t>evaluation criteria and weightings</w:t>
      </w:r>
      <w:r>
        <w:rPr>
          <w:rFonts w:cs="Arial"/>
          <w:sz w:val="20"/>
          <w:szCs w:val="20"/>
          <w:lang w:val="en-US"/>
        </w:rPr>
        <w:t>:</w:t>
      </w:r>
    </w:p>
    <w:tbl>
      <w:tblPr>
        <w:tblStyle w:val="TableGrid"/>
        <w:tblW w:w="5000" w:type="pct"/>
        <w:tblBorders>
          <w:top w:val="single" w:sz="4" w:space="0" w:color="F6F4EC"/>
          <w:left w:val="single" w:sz="4" w:space="0" w:color="F6F4EC"/>
          <w:bottom w:val="single" w:sz="4" w:space="0" w:color="F6F4EC"/>
          <w:right w:val="single" w:sz="4" w:space="0" w:color="F6F4EC"/>
          <w:insideH w:val="single" w:sz="4" w:space="0" w:color="F6F4EC"/>
          <w:insideV w:val="single" w:sz="4" w:space="0" w:color="F6F4EC"/>
        </w:tblBorders>
        <w:tblLook w:val="04A0" w:firstRow="1" w:lastRow="0" w:firstColumn="1" w:lastColumn="0" w:noHBand="0" w:noVBand="1"/>
        <w:tblCaption w:val="Evaluation criteria and weightings"/>
        <w:tblDescription w:val="(sub-header)&#10;Table showing list of evaluation criteria including;&#10;- Technical merit (fit for purpose)&#10;- Capability of the supplier to deliver&#10;- Value for money (based on whole-of-life cost)"/>
      </w:tblPr>
      <w:tblGrid>
        <w:gridCol w:w="7352"/>
        <w:gridCol w:w="1664"/>
      </w:tblGrid>
      <w:tr w:rsidR="00CB1221" w:rsidRPr="004237BC" w14:paraId="09783EE6" w14:textId="77777777" w:rsidTr="00297912">
        <w:trPr>
          <w:tblHeader/>
        </w:trPr>
        <w:tc>
          <w:tcPr>
            <w:tcW w:w="4077" w:type="pct"/>
            <w:tcBorders>
              <w:top w:val="single" w:sz="4" w:space="0" w:color="D9D9D9" w:themeColor="background1" w:themeShade="D9"/>
              <w:left w:val="single" w:sz="4" w:space="0" w:color="D9D9D9" w:themeColor="background1" w:themeShade="D9"/>
            </w:tcBorders>
            <w:shd w:val="clear" w:color="auto" w:fill="0C818F"/>
          </w:tcPr>
          <w:p w14:paraId="306F3866" w14:textId="77777777" w:rsidR="00CB1221" w:rsidRPr="00C722E5" w:rsidRDefault="00CB1221" w:rsidP="00C722E5">
            <w:pPr>
              <w:spacing w:before="120" w:after="120" w:line="276" w:lineRule="auto"/>
              <w:rPr>
                <w:rFonts w:cs="Arial"/>
                <w:b/>
                <w:bCs/>
                <w:color w:val="F6F4EC"/>
                <w:sz w:val="22"/>
                <w:szCs w:val="22"/>
                <w:lang w:val="en-US"/>
              </w:rPr>
            </w:pPr>
            <w:r w:rsidRPr="00C722E5">
              <w:rPr>
                <w:rFonts w:cs="Arial"/>
                <w:b/>
                <w:bCs/>
                <w:color w:val="F6F4EC"/>
                <w:sz w:val="22"/>
                <w:szCs w:val="22"/>
                <w:lang w:val="en-US"/>
              </w:rPr>
              <w:t>Criteria</w:t>
            </w:r>
          </w:p>
        </w:tc>
        <w:tc>
          <w:tcPr>
            <w:tcW w:w="923" w:type="pct"/>
            <w:tcBorders>
              <w:top w:val="single" w:sz="4" w:space="0" w:color="D9D9D9" w:themeColor="background1" w:themeShade="D9"/>
              <w:right w:val="single" w:sz="4" w:space="0" w:color="D9D9D9" w:themeColor="background1" w:themeShade="D9"/>
            </w:tcBorders>
            <w:shd w:val="clear" w:color="auto" w:fill="0C818F"/>
          </w:tcPr>
          <w:p w14:paraId="35D3628B" w14:textId="77777777" w:rsidR="00CB1221" w:rsidRPr="00C722E5" w:rsidRDefault="00CB1221" w:rsidP="00C722E5">
            <w:pPr>
              <w:spacing w:before="120" w:after="120" w:line="276" w:lineRule="auto"/>
              <w:jc w:val="center"/>
              <w:rPr>
                <w:rFonts w:cs="Arial"/>
                <w:b/>
                <w:bCs/>
                <w:color w:val="F6F4EC"/>
                <w:sz w:val="22"/>
                <w:szCs w:val="22"/>
                <w:lang w:val="en-US"/>
              </w:rPr>
            </w:pPr>
            <w:r w:rsidRPr="00C722E5">
              <w:rPr>
                <w:rFonts w:cs="Arial"/>
                <w:b/>
                <w:bCs/>
                <w:color w:val="F6F4EC"/>
                <w:sz w:val="22"/>
                <w:szCs w:val="22"/>
                <w:lang w:val="en-US"/>
              </w:rPr>
              <w:t>Weighting</w:t>
            </w:r>
          </w:p>
        </w:tc>
      </w:tr>
      <w:tr w:rsidR="00CB1221" w:rsidRPr="004237BC" w14:paraId="055C5BBC" w14:textId="77777777" w:rsidTr="00C722E5">
        <w:tc>
          <w:tcPr>
            <w:tcW w:w="4077" w:type="pct"/>
            <w:tcBorders>
              <w:left w:val="single" w:sz="4" w:space="0" w:color="D9D9D9" w:themeColor="background1" w:themeShade="D9"/>
            </w:tcBorders>
            <w:shd w:val="clear" w:color="auto" w:fill="A6A6A6" w:themeFill="background1" w:themeFillShade="A6"/>
            <w:vAlign w:val="center"/>
          </w:tcPr>
          <w:p w14:paraId="6511AD35" w14:textId="77777777" w:rsidR="00CB1221" w:rsidRPr="00C722E5" w:rsidRDefault="00CB1221" w:rsidP="00C722E5">
            <w:pPr>
              <w:spacing w:before="120" w:after="120" w:line="276" w:lineRule="auto"/>
              <w:rPr>
                <w:rFonts w:cs="Arial"/>
                <w:b/>
                <w:bCs/>
                <w:color w:val="FFFFFF" w:themeColor="background1"/>
                <w:lang w:val="en-US"/>
              </w:rPr>
            </w:pPr>
            <w:r w:rsidRPr="00C722E5">
              <w:rPr>
                <w:rFonts w:cs="Arial"/>
                <w:b/>
                <w:bCs/>
                <w:color w:val="FFFFFF" w:themeColor="background1"/>
                <w:lang w:val="en-US"/>
              </w:rPr>
              <w:t xml:space="preserve">Providing innovative solutions </w:t>
            </w:r>
          </w:p>
        </w:tc>
        <w:tc>
          <w:tcPr>
            <w:tcW w:w="923" w:type="pct"/>
            <w:tcBorders>
              <w:right w:val="single" w:sz="4" w:space="0" w:color="D9D9D9" w:themeColor="background1" w:themeShade="D9"/>
            </w:tcBorders>
            <w:shd w:val="clear" w:color="auto" w:fill="A6A6A6" w:themeFill="background1" w:themeFillShade="A6"/>
            <w:vAlign w:val="center"/>
          </w:tcPr>
          <w:p w14:paraId="722EB82C" w14:textId="77777777" w:rsidR="00CB1221" w:rsidRPr="00C722E5" w:rsidRDefault="00CB1221" w:rsidP="00C722E5">
            <w:pPr>
              <w:spacing w:before="120" w:after="120" w:line="276" w:lineRule="auto"/>
              <w:jc w:val="center"/>
              <w:rPr>
                <w:rFonts w:cs="Arial"/>
                <w:b/>
                <w:bCs/>
                <w:color w:val="FFFFFF" w:themeColor="background1"/>
                <w:highlight w:val="yellow"/>
                <w:lang w:val="en-US"/>
              </w:rPr>
            </w:pPr>
            <w:r w:rsidRPr="00C722E5">
              <w:rPr>
                <w:rFonts w:cs="Arial"/>
                <w:b/>
                <w:bCs/>
                <w:color w:val="FFFFFF" w:themeColor="background1"/>
                <w:lang w:val="en-US"/>
              </w:rPr>
              <w:t>30%</w:t>
            </w:r>
          </w:p>
        </w:tc>
      </w:tr>
      <w:tr w:rsidR="00CB1221" w:rsidRPr="004237BC" w14:paraId="385C38F7" w14:textId="77777777" w:rsidTr="00297912">
        <w:tc>
          <w:tcPr>
            <w:tcW w:w="4077" w:type="pct"/>
            <w:tcBorders>
              <w:left w:val="single" w:sz="4" w:space="0" w:color="D9D9D9" w:themeColor="background1" w:themeShade="D9"/>
            </w:tcBorders>
          </w:tcPr>
          <w:p w14:paraId="4337F691" w14:textId="77777777" w:rsidR="00CB1221" w:rsidRPr="004237BC" w:rsidRDefault="00CB1221" w:rsidP="00297912">
            <w:pPr>
              <w:pStyle w:val="TableParagraph"/>
              <w:numPr>
                <w:ilvl w:val="0"/>
                <w:numId w:val="18"/>
              </w:numPr>
              <w:tabs>
                <w:tab w:val="left" w:pos="1036"/>
              </w:tabs>
              <w:spacing w:before="120" w:after="120"/>
              <w:ind w:left="447" w:hanging="283"/>
              <w:rPr>
                <w:rFonts w:cs="Arial"/>
                <w:sz w:val="20"/>
                <w:szCs w:val="20"/>
                <w:lang w:val="en-US"/>
              </w:rPr>
            </w:pPr>
            <w:r w:rsidRPr="7385C1C5">
              <w:rPr>
                <w:rFonts w:ascii="Arial" w:eastAsia="Calibri" w:hAnsi="Arial" w:cs="Arial"/>
                <w:color w:val="000000" w:themeColor="text1"/>
                <w:sz w:val="20"/>
                <w:szCs w:val="20"/>
                <w:lang w:eastAsia="en-US"/>
              </w:rPr>
              <w:t>Demonstrates an innovative approach</w:t>
            </w:r>
            <w:r>
              <w:rPr>
                <w:rFonts w:ascii="Arial" w:eastAsia="Calibri" w:hAnsi="Arial" w:cs="Arial"/>
                <w:color w:val="000000" w:themeColor="text1"/>
                <w:sz w:val="20"/>
                <w:szCs w:val="20"/>
                <w:lang w:eastAsia="en-US"/>
              </w:rPr>
              <w:t>, that is different to what is currently available,</w:t>
            </w:r>
            <w:r w:rsidRPr="7385C1C5">
              <w:rPr>
                <w:rFonts w:ascii="Arial" w:eastAsia="Calibri" w:hAnsi="Arial" w:cs="Arial"/>
                <w:color w:val="000000" w:themeColor="text1"/>
                <w:sz w:val="20"/>
                <w:szCs w:val="20"/>
                <w:lang w:eastAsia="en-US"/>
              </w:rPr>
              <w:t xml:space="preserve"> to encouraging and guiding priority populations to stop smoking services.</w:t>
            </w:r>
            <w:r w:rsidRPr="7385C1C5">
              <w:rPr>
                <w:rFonts w:cs="Arial"/>
                <w:color w:val="000000" w:themeColor="text1"/>
                <w:sz w:val="20"/>
                <w:szCs w:val="20"/>
              </w:rPr>
              <w:t xml:space="preserve"> </w:t>
            </w:r>
          </w:p>
        </w:tc>
        <w:tc>
          <w:tcPr>
            <w:tcW w:w="923" w:type="pct"/>
            <w:tcBorders>
              <w:right w:val="single" w:sz="4" w:space="0" w:color="D9D9D9" w:themeColor="background1" w:themeShade="D9"/>
            </w:tcBorders>
            <w:vAlign w:val="center"/>
          </w:tcPr>
          <w:p w14:paraId="54FAE627" w14:textId="77777777" w:rsidR="00CB1221" w:rsidRPr="004237BC" w:rsidRDefault="00CB1221" w:rsidP="00C722E5">
            <w:pPr>
              <w:spacing w:before="60" w:after="60"/>
              <w:jc w:val="center"/>
              <w:rPr>
                <w:rFonts w:cs="Arial"/>
                <w:lang w:val="en-US"/>
              </w:rPr>
            </w:pPr>
          </w:p>
        </w:tc>
      </w:tr>
      <w:tr w:rsidR="00CB1221" w:rsidRPr="004237BC" w14:paraId="259C9895" w14:textId="77777777" w:rsidTr="00C722E5">
        <w:trPr>
          <w:trHeight w:val="300"/>
        </w:trPr>
        <w:tc>
          <w:tcPr>
            <w:tcW w:w="4077" w:type="pct"/>
            <w:tcBorders>
              <w:top w:val="single" w:sz="4" w:space="0" w:color="F6F4EC"/>
              <w:left w:val="single" w:sz="4" w:space="0" w:color="D9D9D9" w:themeColor="background1" w:themeShade="D9"/>
              <w:bottom w:val="single" w:sz="4" w:space="0" w:color="F6F4EC"/>
              <w:right w:val="single" w:sz="4" w:space="0" w:color="F6F4EC"/>
            </w:tcBorders>
            <w:shd w:val="clear" w:color="auto" w:fill="A6A6A6" w:themeFill="background1" w:themeFillShade="A6"/>
          </w:tcPr>
          <w:p w14:paraId="45022A8E" w14:textId="77777777" w:rsidR="00CB1221" w:rsidRPr="00C722E5" w:rsidDel="00587547" w:rsidRDefault="00CB1221" w:rsidP="00C722E5">
            <w:pPr>
              <w:pStyle w:val="TableParagraph"/>
              <w:tabs>
                <w:tab w:val="left" w:pos="1036"/>
              </w:tabs>
              <w:spacing w:before="120" w:after="120"/>
              <w:rPr>
                <w:rFonts w:ascii="Arial" w:eastAsia="Calibri" w:hAnsi="Arial" w:cs="Arial"/>
                <w:color w:val="FFFFFF" w:themeColor="background1"/>
                <w:sz w:val="20"/>
                <w:szCs w:val="20"/>
                <w:lang w:eastAsia="en-US"/>
              </w:rPr>
            </w:pPr>
            <w:r w:rsidRPr="00C722E5">
              <w:rPr>
                <w:rFonts w:ascii="Arial" w:hAnsi="Arial" w:cs="Arial"/>
                <w:b/>
                <w:bCs/>
                <w:color w:val="FFFFFF" w:themeColor="background1"/>
                <w:sz w:val="20"/>
                <w:szCs w:val="20"/>
                <w:lang w:val="en-US"/>
              </w:rPr>
              <w:t>Delivering community-led support</w:t>
            </w:r>
          </w:p>
        </w:tc>
        <w:tc>
          <w:tcPr>
            <w:tcW w:w="923" w:type="pct"/>
            <w:tcBorders>
              <w:top w:val="single" w:sz="4" w:space="0" w:color="F6F4EC"/>
              <w:left w:val="single" w:sz="4" w:space="0" w:color="F6F4EC"/>
              <w:bottom w:val="single" w:sz="4" w:space="0" w:color="F6F4EC"/>
              <w:right w:val="single" w:sz="4" w:space="0" w:color="D9D9D9" w:themeColor="background1" w:themeShade="D9"/>
            </w:tcBorders>
            <w:shd w:val="clear" w:color="auto" w:fill="A6A6A6" w:themeFill="background1" w:themeFillShade="A6"/>
          </w:tcPr>
          <w:p w14:paraId="7F2766B8" w14:textId="77777777" w:rsidR="00CB1221" w:rsidRPr="00C722E5" w:rsidRDefault="00CB1221" w:rsidP="00C722E5">
            <w:pPr>
              <w:spacing w:before="120" w:after="120" w:line="276" w:lineRule="auto"/>
              <w:jc w:val="center"/>
              <w:rPr>
                <w:rFonts w:cs="Arial"/>
                <w:color w:val="FFFFFF" w:themeColor="background1"/>
                <w:lang w:val="en-US"/>
              </w:rPr>
            </w:pPr>
            <w:r w:rsidRPr="00C722E5">
              <w:rPr>
                <w:rFonts w:cs="Arial"/>
                <w:b/>
                <w:bCs/>
                <w:color w:val="FFFFFF" w:themeColor="background1"/>
                <w:lang w:val="en-US"/>
              </w:rPr>
              <w:t>30%</w:t>
            </w:r>
          </w:p>
        </w:tc>
      </w:tr>
      <w:tr w:rsidR="00CB1221" w:rsidRPr="004237BC" w14:paraId="24CF2DB5" w14:textId="77777777" w:rsidTr="00297912">
        <w:trPr>
          <w:trHeight w:val="300"/>
        </w:trPr>
        <w:tc>
          <w:tcPr>
            <w:tcW w:w="4077" w:type="pct"/>
            <w:tcBorders>
              <w:left w:val="single" w:sz="4" w:space="0" w:color="D9D9D9" w:themeColor="background1" w:themeShade="D9"/>
            </w:tcBorders>
          </w:tcPr>
          <w:p w14:paraId="039649CD" w14:textId="77777777" w:rsidR="00CB1221" w:rsidDel="00587547" w:rsidRDefault="00CB1221" w:rsidP="00297912">
            <w:pPr>
              <w:pStyle w:val="TableParagraph"/>
              <w:numPr>
                <w:ilvl w:val="0"/>
                <w:numId w:val="19"/>
              </w:numPr>
              <w:tabs>
                <w:tab w:val="left" w:pos="1036"/>
              </w:tabs>
              <w:spacing w:before="120" w:after="120"/>
              <w:ind w:left="457" w:hanging="283"/>
              <w:rPr>
                <w:rFonts w:ascii="Arial" w:eastAsia="Calibri" w:hAnsi="Arial" w:cs="Arial"/>
                <w:color w:val="000000" w:themeColor="text1"/>
                <w:sz w:val="20"/>
                <w:szCs w:val="20"/>
                <w:lang w:eastAsia="en-US"/>
              </w:rPr>
            </w:pPr>
            <w:r w:rsidRPr="7385C1C5">
              <w:rPr>
                <w:rFonts w:ascii="Arial" w:eastAsia="Calibri" w:hAnsi="Arial" w:cs="Arial"/>
                <w:color w:val="000000" w:themeColor="text1"/>
                <w:sz w:val="20"/>
                <w:szCs w:val="20"/>
                <w:lang w:eastAsia="en-US"/>
              </w:rPr>
              <w:t xml:space="preserve">Demonstrates how this initiative has community in the leadership role </w:t>
            </w:r>
            <w:r>
              <w:rPr>
                <w:rFonts w:ascii="Arial" w:eastAsia="Calibri" w:hAnsi="Arial" w:cs="Arial"/>
                <w:color w:val="000000" w:themeColor="text1"/>
                <w:sz w:val="20"/>
                <w:szCs w:val="20"/>
                <w:lang w:eastAsia="en-US"/>
              </w:rPr>
              <w:t xml:space="preserve">and details </w:t>
            </w:r>
            <w:r w:rsidRPr="1226AA82">
              <w:rPr>
                <w:rFonts w:ascii="Arial" w:eastAsia="Calibri" w:hAnsi="Arial" w:cs="Arial"/>
                <w:color w:val="000000" w:themeColor="text1"/>
                <w:sz w:val="20"/>
                <w:szCs w:val="20"/>
                <w:lang w:eastAsia="en-US"/>
              </w:rPr>
              <w:t xml:space="preserve">why their </w:t>
            </w:r>
            <w:r>
              <w:rPr>
                <w:rFonts w:ascii="Arial" w:eastAsia="Calibri" w:hAnsi="Arial" w:cs="Arial"/>
                <w:color w:val="000000" w:themeColor="text1"/>
                <w:sz w:val="20"/>
                <w:szCs w:val="20"/>
                <w:lang w:eastAsia="en-US"/>
              </w:rPr>
              <w:t>community group/</w:t>
            </w:r>
            <w:r w:rsidRPr="1226AA82">
              <w:rPr>
                <w:rFonts w:ascii="Arial" w:eastAsia="Calibri" w:hAnsi="Arial" w:cs="Arial"/>
                <w:color w:val="000000" w:themeColor="text1"/>
                <w:sz w:val="20"/>
                <w:szCs w:val="20"/>
                <w:lang w:eastAsia="en-US"/>
              </w:rPr>
              <w:t>organisation is best placed to</w:t>
            </w:r>
            <w:r w:rsidRPr="7385C1C5">
              <w:rPr>
                <w:rFonts w:ascii="Arial" w:eastAsia="Calibri" w:hAnsi="Arial" w:cs="Arial"/>
                <w:color w:val="000000" w:themeColor="text1"/>
                <w:sz w:val="20"/>
                <w:szCs w:val="20"/>
                <w:lang w:eastAsia="en-US"/>
              </w:rPr>
              <w:t xml:space="preserve"> </w:t>
            </w:r>
            <w:r>
              <w:rPr>
                <w:rFonts w:ascii="Arial" w:eastAsia="Calibri" w:hAnsi="Arial" w:cs="Arial"/>
                <w:color w:val="000000" w:themeColor="text1"/>
                <w:sz w:val="20"/>
                <w:szCs w:val="20"/>
                <w:lang w:eastAsia="en-US"/>
              </w:rPr>
              <w:t xml:space="preserve">deliver </w:t>
            </w:r>
            <w:r w:rsidRPr="7385C1C5">
              <w:rPr>
                <w:rFonts w:ascii="Arial" w:eastAsia="Calibri" w:hAnsi="Arial" w:cs="Arial"/>
                <w:color w:val="000000" w:themeColor="text1"/>
                <w:sz w:val="20"/>
                <w:szCs w:val="20"/>
                <w:lang w:eastAsia="en-US"/>
              </w:rPr>
              <w:t>su</w:t>
            </w:r>
            <w:r>
              <w:rPr>
                <w:rFonts w:ascii="Arial" w:eastAsia="Calibri" w:hAnsi="Arial" w:cs="Arial"/>
                <w:color w:val="000000" w:themeColor="text1"/>
                <w:sz w:val="20"/>
                <w:szCs w:val="20"/>
                <w:lang w:eastAsia="en-US"/>
              </w:rPr>
              <w:t>pp</w:t>
            </w:r>
            <w:r w:rsidRPr="7385C1C5">
              <w:rPr>
                <w:rFonts w:ascii="Arial" w:eastAsia="Calibri" w:hAnsi="Arial" w:cs="Arial"/>
                <w:color w:val="000000" w:themeColor="text1"/>
                <w:sz w:val="20"/>
                <w:szCs w:val="20"/>
                <w:lang w:eastAsia="en-US"/>
              </w:rPr>
              <w:t xml:space="preserve">ort </w:t>
            </w:r>
            <w:r>
              <w:rPr>
                <w:rFonts w:ascii="Arial" w:eastAsia="Calibri" w:hAnsi="Arial" w:cs="Arial"/>
                <w:color w:val="000000" w:themeColor="text1"/>
                <w:sz w:val="20"/>
                <w:szCs w:val="20"/>
                <w:lang w:eastAsia="en-US"/>
              </w:rPr>
              <w:t xml:space="preserve">to </w:t>
            </w:r>
            <w:r w:rsidRPr="7385C1C5">
              <w:rPr>
                <w:rFonts w:ascii="Arial" w:eastAsia="Calibri" w:hAnsi="Arial" w:cs="Arial"/>
                <w:color w:val="000000" w:themeColor="text1"/>
                <w:sz w:val="20"/>
                <w:szCs w:val="20"/>
                <w:lang w:eastAsia="en-US"/>
              </w:rPr>
              <w:t>more people to quit smoking.</w:t>
            </w:r>
          </w:p>
        </w:tc>
        <w:tc>
          <w:tcPr>
            <w:tcW w:w="923" w:type="pct"/>
            <w:tcBorders>
              <w:right w:val="single" w:sz="4" w:space="0" w:color="D9D9D9" w:themeColor="background1" w:themeShade="D9"/>
            </w:tcBorders>
            <w:vAlign w:val="center"/>
          </w:tcPr>
          <w:p w14:paraId="3799DD65" w14:textId="77777777" w:rsidR="00CB1221" w:rsidRPr="004237BC" w:rsidRDefault="00CB1221" w:rsidP="00C722E5">
            <w:pPr>
              <w:spacing w:before="60" w:after="60"/>
              <w:jc w:val="center"/>
              <w:rPr>
                <w:rFonts w:cs="Arial"/>
                <w:lang w:val="en-US"/>
              </w:rPr>
            </w:pPr>
          </w:p>
        </w:tc>
      </w:tr>
      <w:tr w:rsidR="00CB1221" w:rsidRPr="004237BC" w14:paraId="12D836C8" w14:textId="77777777" w:rsidTr="00C722E5">
        <w:tc>
          <w:tcPr>
            <w:tcW w:w="4077" w:type="pct"/>
            <w:tcBorders>
              <w:left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B192D34" w14:textId="77777777" w:rsidR="00CB1221" w:rsidRPr="00C722E5" w:rsidRDefault="00CB1221" w:rsidP="00C722E5">
            <w:pPr>
              <w:spacing w:before="120" w:after="120" w:line="276" w:lineRule="auto"/>
              <w:rPr>
                <w:rFonts w:cs="Arial"/>
                <w:color w:val="FFFFFF" w:themeColor="background1"/>
                <w:lang w:val="en-US"/>
              </w:rPr>
            </w:pPr>
            <w:r w:rsidRPr="00C722E5">
              <w:rPr>
                <w:rFonts w:cs="Arial"/>
                <w:b/>
                <w:bCs/>
                <w:color w:val="FFFFFF" w:themeColor="background1"/>
                <w:lang w:val="en-US"/>
              </w:rPr>
              <w:t>Reducing inequities for priority populations</w:t>
            </w:r>
          </w:p>
        </w:tc>
        <w:tc>
          <w:tcPr>
            <w:tcW w:w="923" w:type="pct"/>
            <w:tcBorders>
              <w:left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FE8036C" w14:textId="77777777" w:rsidR="00CB1221" w:rsidRPr="00C722E5" w:rsidRDefault="00CB1221" w:rsidP="00C722E5">
            <w:pPr>
              <w:spacing w:before="120" w:after="120" w:line="276" w:lineRule="auto"/>
              <w:jc w:val="center"/>
              <w:rPr>
                <w:rFonts w:cs="Arial"/>
                <w:color w:val="FFFFFF" w:themeColor="background1"/>
                <w:lang w:val="en-US"/>
              </w:rPr>
            </w:pPr>
            <w:r w:rsidRPr="00C722E5">
              <w:rPr>
                <w:rFonts w:cs="Arial"/>
                <w:b/>
                <w:bCs/>
                <w:color w:val="FFFFFF" w:themeColor="background1"/>
                <w:lang w:val="en-US"/>
              </w:rPr>
              <w:t>30%</w:t>
            </w:r>
          </w:p>
        </w:tc>
      </w:tr>
      <w:tr w:rsidR="00CB1221" w:rsidRPr="004237BC" w14:paraId="23ED0C04" w14:textId="77777777" w:rsidTr="00297912">
        <w:tc>
          <w:tcPr>
            <w:tcW w:w="4077" w:type="pct"/>
            <w:tcBorders>
              <w:left w:val="single" w:sz="4" w:space="0" w:color="D9D9D9" w:themeColor="background1" w:themeShade="D9"/>
            </w:tcBorders>
          </w:tcPr>
          <w:p w14:paraId="0BBA4364" w14:textId="77777777" w:rsidR="00CB1221" w:rsidRPr="004237BC" w:rsidRDefault="00CB1221" w:rsidP="00297912">
            <w:pPr>
              <w:pStyle w:val="TableParagraph"/>
              <w:numPr>
                <w:ilvl w:val="0"/>
                <w:numId w:val="20"/>
              </w:numPr>
              <w:tabs>
                <w:tab w:val="left" w:pos="894"/>
              </w:tabs>
              <w:spacing w:before="120" w:after="120"/>
              <w:ind w:left="447" w:hanging="283"/>
              <w:rPr>
                <w:rFonts w:ascii="Arial" w:hAnsi="Arial" w:cs="Arial"/>
                <w:color w:val="000000" w:themeColor="text1"/>
                <w:sz w:val="20"/>
                <w:szCs w:val="20"/>
              </w:rPr>
            </w:pPr>
            <w:r w:rsidRPr="004237BC">
              <w:rPr>
                <w:rFonts w:ascii="Arial" w:eastAsia="Calibri" w:hAnsi="Arial" w:cs="Arial"/>
                <w:color w:val="000000" w:themeColor="text1"/>
                <w:sz w:val="20"/>
                <w:szCs w:val="20"/>
              </w:rPr>
              <w:t>Focuses on reducing inequities for priority populations with higher rates of smoking, such as Māori, Pacific peoples, adults with disabilities, and people experiencing mental health and addiction issues.</w:t>
            </w:r>
          </w:p>
          <w:p w14:paraId="03B817AB" w14:textId="77777777" w:rsidR="00CB1221" w:rsidRPr="004237BC" w:rsidRDefault="00CB1221" w:rsidP="00297912">
            <w:pPr>
              <w:pStyle w:val="TableParagraph"/>
              <w:numPr>
                <w:ilvl w:val="0"/>
                <w:numId w:val="20"/>
              </w:numPr>
              <w:tabs>
                <w:tab w:val="left" w:pos="894"/>
              </w:tabs>
              <w:spacing w:before="120" w:after="120"/>
              <w:ind w:left="447" w:hanging="283"/>
              <w:rPr>
                <w:rFonts w:cs="Arial"/>
                <w:sz w:val="20"/>
                <w:szCs w:val="20"/>
                <w:lang w:val="en-US"/>
              </w:rPr>
            </w:pPr>
            <w:r w:rsidRPr="002713DC">
              <w:rPr>
                <w:rFonts w:ascii="Arial" w:eastAsia="Calibri" w:hAnsi="Arial" w:cs="Arial"/>
                <w:color w:val="000000" w:themeColor="text1"/>
                <w:sz w:val="20"/>
                <w:szCs w:val="20"/>
              </w:rPr>
              <w:t>Describes how the initiative will be developed and implemented to meet the needs and positively impact the intended priority population.</w:t>
            </w:r>
          </w:p>
        </w:tc>
        <w:tc>
          <w:tcPr>
            <w:tcW w:w="923" w:type="pct"/>
            <w:tcBorders>
              <w:right w:val="single" w:sz="4" w:space="0" w:color="D9D9D9" w:themeColor="background1" w:themeShade="D9"/>
            </w:tcBorders>
            <w:vAlign w:val="center"/>
          </w:tcPr>
          <w:p w14:paraId="4870A169" w14:textId="77777777" w:rsidR="00CB1221" w:rsidRPr="004237BC" w:rsidRDefault="00CB1221" w:rsidP="00C722E5">
            <w:pPr>
              <w:spacing w:before="60" w:after="60"/>
              <w:jc w:val="center"/>
              <w:rPr>
                <w:rFonts w:cs="Arial"/>
                <w:lang w:val="en-US"/>
              </w:rPr>
            </w:pPr>
          </w:p>
        </w:tc>
      </w:tr>
      <w:tr w:rsidR="00CB1221" w:rsidRPr="004237BC" w14:paraId="039E57AB" w14:textId="77777777" w:rsidTr="00C722E5">
        <w:trPr>
          <w:trHeight w:val="300"/>
        </w:trPr>
        <w:tc>
          <w:tcPr>
            <w:tcW w:w="4077" w:type="pct"/>
            <w:tcBorders>
              <w:top w:val="single" w:sz="4" w:space="0" w:color="F6F4EC"/>
              <w:left w:val="single" w:sz="4" w:space="0" w:color="D9D9D9" w:themeColor="background1" w:themeShade="D9"/>
              <w:bottom w:val="single" w:sz="4" w:space="0" w:color="F6F4EC"/>
              <w:right w:val="single" w:sz="4" w:space="0" w:color="F6F4EC"/>
            </w:tcBorders>
            <w:shd w:val="clear" w:color="auto" w:fill="A6A6A6" w:themeFill="background1" w:themeFillShade="A6"/>
          </w:tcPr>
          <w:p w14:paraId="57F2CB3F" w14:textId="77777777" w:rsidR="00CB1221" w:rsidRPr="00C722E5" w:rsidRDefault="00CB1221" w:rsidP="00C722E5">
            <w:pPr>
              <w:pStyle w:val="TableParagraph"/>
              <w:tabs>
                <w:tab w:val="left" w:pos="894"/>
              </w:tabs>
              <w:spacing w:before="120" w:after="120"/>
              <w:rPr>
                <w:rFonts w:ascii="Arial" w:eastAsia="Calibri" w:hAnsi="Arial" w:cs="Arial"/>
                <w:color w:val="FFFFFF" w:themeColor="background1"/>
                <w:sz w:val="20"/>
                <w:szCs w:val="20"/>
              </w:rPr>
            </w:pPr>
            <w:r w:rsidRPr="00C722E5">
              <w:rPr>
                <w:rFonts w:ascii="Arial" w:hAnsi="Arial" w:cs="Arial"/>
                <w:b/>
                <w:bCs/>
                <w:color w:val="FFFFFF" w:themeColor="background1"/>
                <w:sz w:val="20"/>
                <w:szCs w:val="20"/>
                <w:lang w:val="en-US"/>
              </w:rPr>
              <w:t>Capability and capacity to deliver</w:t>
            </w:r>
          </w:p>
        </w:tc>
        <w:tc>
          <w:tcPr>
            <w:tcW w:w="923" w:type="pct"/>
            <w:tcBorders>
              <w:top w:val="single" w:sz="4" w:space="0" w:color="F6F4EC"/>
              <w:left w:val="single" w:sz="4" w:space="0" w:color="F6F4EC"/>
              <w:bottom w:val="single" w:sz="4" w:space="0" w:color="F6F4EC"/>
              <w:right w:val="single" w:sz="4" w:space="0" w:color="D9D9D9" w:themeColor="background1" w:themeShade="D9"/>
            </w:tcBorders>
            <w:shd w:val="clear" w:color="auto" w:fill="A6A6A6" w:themeFill="background1" w:themeFillShade="A6"/>
          </w:tcPr>
          <w:p w14:paraId="186C08E7" w14:textId="77777777" w:rsidR="00CB1221" w:rsidRPr="00C722E5" w:rsidRDefault="00CB1221" w:rsidP="00C722E5">
            <w:pPr>
              <w:spacing w:before="120" w:after="120" w:line="276" w:lineRule="auto"/>
              <w:jc w:val="center"/>
              <w:rPr>
                <w:rFonts w:cs="Arial"/>
                <w:color w:val="FFFFFF" w:themeColor="background1"/>
                <w:lang w:val="en-US"/>
              </w:rPr>
            </w:pPr>
            <w:r w:rsidRPr="00C722E5">
              <w:rPr>
                <w:rFonts w:cs="Arial"/>
                <w:b/>
                <w:bCs/>
                <w:color w:val="FFFFFF" w:themeColor="background1"/>
                <w:lang w:val="en-US"/>
              </w:rPr>
              <w:t>10%</w:t>
            </w:r>
          </w:p>
        </w:tc>
      </w:tr>
      <w:tr w:rsidR="00CB1221" w:rsidRPr="004237BC" w14:paraId="43C8D491" w14:textId="77777777" w:rsidTr="00297912">
        <w:trPr>
          <w:trHeight w:val="300"/>
        </w:trPr>
        <w:tc>
          <w:tcPr>
            <w:tcW w:w="4077" w:type="pct"/>
            <w:tcBorders>
              <w:left w:val="single" w:sz="4" w:space="0" w:color="D9D9D9" w:themeColor="background1" w:themeShade="D9"/>
            </w:tcBorders>
          </w:tcPr>
          <w:p w14:paraId="6C95F51D" w14:textId="77777777" w:rsidR="00CB1221" w:rsidRPr="00AB6B79" w:rsidRDefault="00CB1221" w:rsidP="00297912">
            <w:pPr>
              <w:pStyle w:val="TableParagraph"/>
              <w:numPr>
                <w:ilvl w:val="0"/>
                <w:numId w:val="20"/>
              </w:numPr>
              <w:spacing w:before="120" w:after="120"/>
              <w:ind w:left="457" w:hanging="283"/>
              <w:rPr>
                <w:rFonts w:ascii="Arial" w:eastAsia="Calibri" w:hAnsi="Arial" w:cs="Arial"/>
                <w:color w:val="000000" w:themeColor="text1"/>
                <w:sz w:val="20"/>
                <w:szCs w:val="20"/>
              </w:rPr>
            </w:pPr>
            <w:r w:rsidRPr="7385C1C5">
              <w:rPr>
                <w:rFonts w:ascii="Arial" w:eastAsia="Calibri" w:hAnsi="Arial" w:cs="Arial"/>
                <w:color w:val="000000" w:themeColor="text1"/>
                <w:sz w:val="20"/>
                <w:szCs w:val="20"/>
                <w:lang w:eastAsia="en-US"/>
              </w:rPr>
              <w:t>Details how the applicants intend to communicate with the intended audience, timeframes for implementation and workforce capacity to deliver</w:t>
            </w:r>
            <w:r>
              <w:rPr>
                <w:rFonts w:ascii="Arial" w:eastAsia="Calibri" w:hAnsi="Arial" w:cs="Arial"/>
                <w:color w:val="000000" w:themeColor="text1"/>
                <w:sz w:val="20"/>
                <w:szCs w:val="20"/>
                <w:lang w:eastAsia="en-US"/>
              </w:rPr>
              <w:t xml:space="preserve"> from the beginning of March 2024</w:t>
            </w:r>
            <w:r w:rsidRPr="7385C1C5">
              <w:rPr>
                <w:rFonts w:ascii="Arial" w:eastAsia="Calibri" w:hAnsi="Arial" w:cs="Arial"/>
                <w:color w:val="000000" w:themeColor="text1"/>
                <w:sz w:val="20"/>
                <w:szCs w:val="20"/>
                <w:lang w:eastAsia="en-US"/>
              </w:rPr>
              <w:t>.</w:t>
            </w:r>
          </w:p>
        </w:tc>
        <w:tc>
          <w:tcPr>
            <w:tcW w:w="923" w:type="pct"/>
            <w:tcBorders>
              <w:right w:val="single" w:sz="4" w:space="0" w:color="D9D9D9" w:themeColor="background1" w:themeShade="D9"/>
            </w:tcBorders>
            <w:vAlign w:val="center"/>
          </w:tcPr>
          <w:p w14:paraId="4FE94A00" w14:textId="77777777" w:rsidR="00CB1221" w:rsidRPr="004237BC" w:rsidRDefault="00CB1221" w:rsidP="00C722E5">
            <w:pPr>
              <w:spacing w:before="60" w:after="60"/>
              <w:jc w:val="center"/>
              <w:rPr>
                <w:rFonts w:cs="Arial"/>
                <w:lang w:val="en-US"/>
              </w:rPr>
            </w:pPr>
          </w:p>
        </w:tc>
      </w:tr>
      <w:tr w:rsidR="00CB1221" w:rsidRPr="004237BC" w14:paraId="226D41B7" w14:textId="77777777" w:rsidTr="00C722E5">
        <w:tc>
          <w:tcPr>
            <w:tcW w:w="4077" w:type="pct"/>
            <w:tcBorders>
              <w:left w:val="single" w:sz="4" w:space="0" w:color="D9D9D9" w:themeColor="background1" w:themeShade="D9"/>
              <w:bottom w:val="single" w:sz="4" w:space="0" w:color="D9D9D9" w:themeColor="background1" w:themeShade="D9"/>
            </w:tcBorders>
            <w:shd w:val="clear" w:color="auto" w:fill="A6A6A6" w:themeFill="background1" w:themeFillShade="A6"/>
          </w:tcPr>
          <w:p w14:paraId="0A8F8E1A" w14:textId="77777777" w:rsidR="00CB1221" w:rsidRPr="00C722E5" w:rsidRDefault="00CB1221" w:rsidP="00C722E5">
            <w:pPr>
              <w:spacing w:before="120" w:after="120" w:line="276" w:lineRule="auto"/>
              <w:rPr>
                <w:rFonts w:cs="Arial"/>
                <w:b/>
                <w:bCs/>
                <w:color w:val="FFFFFF" w:themeColor="background1"/>
                <w:lang w:val="en-US"/>
              </w:rPr>
            </w:pPr>
            <w:r w:rsidRPr="00C722E5">
              <w:rPr>
                <w:rFonts w:cs="Arial"/>
                <w:b/>
                <w:bCs/>
                <w:color w:val="FFFFFF" w:themeColor="background1"/>
                <w:lang w:val="en-US"/>
              </w:rPr>
              <w:t>Total weightings</w:t>
            </w:r>
          </w:p>
        </w:tc>
        <w:tc>
          <w:tcPr>
            <w:tcW w:w="923" w:type="pct"/>
            <w:tcBorders>
              <w:bottom w:val="single" w:sz="4" w:space="0" w:color="D9D9D9" w:themeColor="background1" w:themeShade="D9"/>
              <w:right w:val="single" w:sz="4" w:space="0" w:color="D9D9D9" w:themeColor="background1" w:themeShade="D9"/>
            </w:tcBorders>
            <w:shd w:val="clear" w:color="auto" w:fill="A6A6A6" w:themeFill="background1" w:themeFillShade="A6"/>
          </w:tcPr>
          <w:p w14:paraId="404B439A" w14:textId="77777777" w:rsidR="00CB1221" w:rsidRPr="00C722E5" w:rsidRDefault="00CB1221" w:rsidP="00C722E5">
            <w:pPr>
              <w:spacing w:before="120" w:after="120" w:line="276" w:lineRule="auto"/>
              <w:jc w:val="center"/>
              <w:rPr>
                <w:rFonts w:cs="Arial"/>
                <w:b/>
                <w:bCs/>
                <w:color w:val="FFFFFF" w:themeColor="background1"/>
                <w:lang w:val="en-US"/>
              </w:rPr>
            </w:pPr>
            <w:r w:rsidRPr="00C722E5">
              <w:rPr>
                <w:rFonts w:cs="Arial"/>
                <w:b/>
                <w:bCs/>
                <w:color w:val="FFFFFF" w:themeColor="background1"/>
                <w:lang w:val="en-US"/>
              </w:rPr>
              <w:t>100%</w:t>
            </w:r>
          </w:p>
        </w:tc>
      </w:tr>
    </w:tbl>
    <w:p w14:paraId="56755DD7" w14:textId="77777777" w:rsidR="00111A86" w:rsidRDefault="00111A86" w:rsidP="008F160A">
      <w:pPr>
        <w:widowControl w:val="0"/>
        <w:spacing w:before="240" w:after="120"/>
        <w:ind w:right="-45"/>
        <w:jc w:val="both"/>
        <w:rPr>
          <w:b/>
          <w:bCs/>
          <w:color w:val="193D64"/>
          <w:sz w:val="32"/>
          <w:szCs w:val="32"/>
        </w:rPr>
      </w:pPr>
    </w:p>
    <w:p w14:paraId="15E54797" w14:textId="77777777" w:rsidR="00111A86" w:rsidRDefault="00111A86">
      <w:pPr>
        <w:spacing w:after="160" w:line="259" w:lineRule="auto"/>
        <w:rPr>
          <w:b/>
          <w:bCs/>
          <w:color w:val="193D64"/>
          <w:sz w:val="32"/>
          <w:szCs w:val="32"/>
        </w:rPr>
      </w:pPr>
      <w:r>
        <w:rPr>
          <w:b/>
          <w:bCs/>
          <w:color w:val="193D64"/>
          <w:sz w:val="32"/>
          <w:szCs w:val="32"/>
        </w:rPr>
        <w:br w:type="page"/>
      </w:r>
    </w:p>
    <w:p w14:paraId="63CDF46A" w14:textId="6F9DDAF1" w:rsidR="008F160A" w:rsidRPr="008E1FED" w:rsidRDefault="008F160A" w:rsidP="008F160A">
      <w:pPr>
        <w:widowControl w:val="0"/>
        <w:spacing w:before="240" w:after="120"/>
        <w:ind w:right="-45"/>
        <w:jc w:val="both"/>
        <w:rPr>
          <w:b/>
          <w:bCs/>
          <w:color w:val="193D64"/>
          <w:sz w:val="32"/>
          <w:szCs w:val="32"/>
        </w:rPr>
      </w:pPr>
      <w:r w:rsidRPr="008E1FED">
        <w:rPr>
          <w:b/>
          <w:bCs/>
          <w:color w:val="193D64"/>
          <w:sz w:val="32"/>
          <w:szCs w:val="32"/>
        </w:rPr>
        <w:lastRenderedPageBreak/>
        <w:t>Rating scale</w:t>
      </w:r>
    </w:p>
    <w:p w14:paraId="6F268369" w14:textId="77777777" w:rsidR="008F160A" w:rsidRDefault="008F160A" w:rsidP="008F160A">
      <w:pPr>
        <w:spacing w:before="120" w:after="120"/>
        <w:ind w:right="-45"/>
        <w:rPr>
          <w:rFonts w:eastAsiaTheme="minorEastAsia" w:cs="Arial"/>
          <w:sz w:val="20"/>
          <w:szCs w:val="20"/>
          <w:lang w:eastAsia="en-NZ"/>
        </w:rPr>
      </w:pPr>
      <w:r w:rsidRPr="4B1EACD5">
        <w:rPr>
          <w:rFonts w:eastAsiaTheme="minorEastAsia" w:cs="Arial"/>
          <w:sz w:val="20"/>
          <w:szCs w:val="20"/>
          <w:lang w:eastAsia="en-NZ"/>
        </w:rPr>
        <w:t>The panel</w:t>
      </w:r>
      <w:r>
        <w:rPr>
          <w:rFonts w:eastAsiaTheme="minorEastAsia" w:cs="Arial"/>
          <w:sz w:val="20"/>
          <w:szCs w:val="20"/>
          <w:lang w:eastAsia="en-NZ"/>
        </w:rPr>
        <w:t>s</w:t>
      </w:r>
      <w:r w:rsidRPr="4B1EACD5">
        <w:rPr>
          <w:rFonts w:eastAsiaTheme="minorEastAsia" w:cs="Arial"/>
          <w:sz w:val="20"/>
          <w:szCs w:val="20"/>
          <w:lang w:eastAsia="en-NZ"/>
        </w:rPr>
        <w:t xml:space="preserve"> will use the following rating scale to evaluate </w:t>
      </w:r>
      <w:r>
        <w:rPr>
          <w:rFonts w:eastAsiaTheme="minorEastAsia" w:cs="Arial"/>
          <w:sz w:val="20"/>
          <w:szCs w:val="20"/>
          <w:lang w:eastAsia="en-NZ"/>
        </w:rPr>
        <w:t xml:space="preserve">applicants’ </w:t>
      </w:r>
      <w:r w:rsidRPr="4B1EACD5">
        <w:rPr>
          <w:rFonts w:eastAsiaTheme="minorEastAsia" w:cs="Arial"/>
          <w:sz w:val="20"/>
          <w:szCs w:val="20"/>
          <w:lang w:eastAsia="en-NZ"/>
        </w:rPr>
        <w:t>responses against the</w:t>
      </w:r>
      <w:r>
        <w:rPr>
          <w:rFonts w:eastAsiaTheme="minorEastAsia" w:cs="Arial"/>
          <w:sz w:val="20"/>
          <w:szCs w:val="20"/>
          <w:lang w:eastAsia="en-NZ"/>
        </w:rPr>
        <w:t xml:space="preserve"> evaluation</w:t>
      </w:r>
      <w:r w:rsidRPr="4B1EACD5">
        <w:rPr>
          <w:rFonts w:eastAsiaTheme="minorEastAsia" w:cs="Arial"/>
          <w:sz w:val="20"/>
          <w:szCs w:val="20"/>
          <w:lang w:eastAsia="en-NZ"/>
        </w:rPr>
        <w:t xml:space="preserve"> criteri</w:t>
      </w:r>
      <w:r>
        <w:rPr>
          <w:rFonts w:eastAsiaTheme="minorEastAsia" w:cs="Arial"/>
          <w:sz w:val="20"/>
          <w:szCs w:val="20"/>
          <w:lang w:eastAsia="en-NZ"/>
        </w:rPr>
        <w:t>a:</w:t>
      </w:r>
    </w:p>
    <w:tbl>
      <w:tblPr>
        <w:tblW w:w="9064" w:type="dxa"/>
        <w:tblLayout w:type="fixed"/>
        <w:tblLook w:val="01E0" w:firstRow="1" w:lastRow="1" w:firstColumn="1" w:lastColumn="1" w:noHBand="0" w:noVBand="0"/>
      </w:tblPr>
      <w:tblGrid>
        <w:gridCol w:w="1977"/>
        <w:gridCol w:w="6109"/>
        <w:gridCol w:w="978"/>
      </w:tblGrid>
      <w:tr w:rsidR="008F160A" w14:paraId="59A352D4" w14:textId="77777777" w:rsidTr="00425722">
        <w:trPr>
          <w:trHeight w:val="512"/>
        </w:trPr>
        <w:tc>
          <w:tcPr>
            <w:tcW w:w="1977" w:type="dxa"/>
            <w:tcBorders>
              <w:top w:val="single" w:sz="6" w:space="0" w:color="auto"/>
              <w:left w:val="single" w:sz="6" w:space="0" w:color="auto"/>
              <w:bottom w:val="single" w:sz="6" w:space="0" w:color="auto"/>
              <w:right w:val="single" w:sz="6" w:space="0" w:color="auto"/>
            </w:tcBorders>
            <w:shd w:val="clear" w:color="auto" w:fill="0C818F"/>
            <w:vAlign w:val="center"/>
          </w:tcPr>
          <w:p w14:paraId="338C4B7B" w14:textId="77777777" w:rsidR="008F160A" w:rsidRPr="00E57296" w:rsidRDefault="008F160A" w:rsidP="00425722">
            <w:pPr>
              <w:spacing w:before="240" w:line="276" w:lineRule="auto"/>
              <w:ind w:left="22" w:right="567"/>
              <w:rPr>
                <w:rFonts w:eastAsiaTheme="minorEastAsia" w:cs="Arial"/>
                <w:b/>
                <w:bCs/>
                <w:color w:val="FFFFFF" w:themeColor="background1"/>
                <w:lang w:eastAsia="en-NZ"/>
              </w:rPr>
            </w:pPr>
            <w:r w:rsidRPr="00E57296">
              <w:rPr>
                <w:rFonts w:eastAsiaTheme="minorEastAsia" w:cs="Arial"/>
                <w:b/>
                <w:bCs/>
                <w:color w:val="FFFFFF" w:themeColor="background1"/>
                <w:lang w:val="en-US" w:eastAsia="en-NZ"/>
              </w:rPr>
              <w:t>Rating</w:t>
            </w:r>
          </w:p>
        </w:tc>
        <w:tc>
          <w:tcPr>
            <w:tcW w:w="6109" w:type="dxa"/>
            <w:tcBorders>
              <w:top w:val="single" w:sz="6" w:space="0" w:color="auto"/>
              <w:left w:val="single" w:sz="6" w:space="0" w:color="auto"/>
              <w:bottom w:val="single" w:sz="6" w:space="0" w:color="auto"/>
              <w:right w:val="single" w:sz="6" w:space="0" w:color="auto"/>
            </w:tcBorders>
            <w:shd w:val="clear" w:color="auto" w:fill="0C818F"/>
            <w:vAlign w:val="center"/>
          </w:tcPr>
          <w:p w14:paraId="28387CBC" w14:textId="77777777" w:rsidR="008F160A" w:rsidRPr="00E57296" w:rsidRDefault="008F160A" w:rsidP="00425722">
            <w:pPr>
              <w:spacing w:before="240" w:line="276" w:lineRule="auto"/>
              <w:ind w:right="1153"/>
              <w:rPr>
                <w:rFonts w:eastAsiaTheme="minorEastAsia" w:cs="Arial"/>
                <w:b/>
                <w:bCs/>
                <w:color w:val="FFFFFF" w:themeColor="background1"/>
                <w:lang w:eastAsia="en-NZ"/>
              </w:rPr>
            </w:pPr>
            <w:r w:rsidRPr="00E57296">
              <w:rPr>
                <w:rFonts w:eastAsiaTheme="minorEastAsia" w:cs="Arial"/>
                <w:b/>
                <w:bCs/>
                <w:color w:val="FFFFFF" w:themeColor="background1"/>
                <w:lang w:val="en-US" w:eastAsia="en-NZ"/>
              </w:rPr>
              <w:t>Definition</w:t>
            </w:r>
          </w:p>
        </w:tc>
        <w:tc>
          <w:tcPr>
            <w:tcW w:w="978" w:type="dxa"/>
            <w:tcBorders>
              <w:top w:val="single" w:sz="6" w:space="0" w:color="auto"/>
              <w:left w:val="single" w:sz="6" w:space="0" w:color="auto"/>
              <w:bottom w:val="single" w:sz="6" w:space="0" w:color="auto"/>
              <w:right w:val="single" w:sz="6" w:space="0" w:color="auto"/>
            </w:tcBorders>
            <w:shd w:val="clear" w:color="auto" w:fill="0C818F"/>
            <w:vAlign w:val="center"/>
          </w:tcPr>
          <w:p w14:paraId="1A1603FA" w14:textId="77777777" w:rsidR="008F160A" w:rsidRPr="00E57296" w:rsidRDefault="008F160A" w:rsidP="00425722">
            <w:pPr>
              <w:spacing w:before="240" w:line="276" w:lineRule="auto"/>
              <w:ind w:left="-124"/>
              <w:jc w:val="center"/>
              <w:rPr>
                <w:rFonts w:eastAsiaTheme="minorEastAsia" w:cs="Arial"/>
                <w:b/>
                <w:bCs/>
                <w:color w:val="FFFFFF" w:themeColor="background1"/>
                <w:lang w:eastAsia="en-NZ"/>
              </w:rPr>
            </w:pPr>
            <w:r w:rsidRPr="00E57296">
              <w:rPr>
                <w:rFonts w:eastAsiaTheme="minorEastAsia" w:cs="Arial"/>
                <w:b/>
                <w:bCs/>
                <w:color w:val="FFFFFF" w:themeColor="background1"/>
                <w:lang w:val="en-US" w:eastAsia="en-NZ"/>
              </w:rPr>
              <w:t>Score</w:t>
            </w:r>
          </w:p>
        </w:tc>
      </w:tr>
      <w:tr w:rsidR="008F160A" w14:paraId="7C670E16" w14:textId="77777777" w:rsidTr="00425722">
        <w:tc>
          <w:tcPr>
            <w:tcW w:w="197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69AD7404" w14:textId="77777777" w:rsidR="008F160A" w:rsidRDefault="008F160A" w:rsidP="00425722">
            <w:pPr>
              <w:spacing w:after="0"/>
              <w:ind w:left="22"/>
              <w:rPr>
                <w:rFonts w:eastAsia="Arial" w:cs="Arial"/>
                <w:color w:val="FFFFFF" w:themeColor="background1"/>
                <w:sz w:val="20"/>
                <w:szCs w:val="20"/>
              </w:rPr>
            </w:pPr>
            <w:r w:rsidRPr="00C1712E">
              <w:rPr>
                <w:rFonts w:eastAsiaTheme="minorEastAsia" w:cs="Arial"/>
                <w:color w:val="FFFFFF" w:themeColor="background1"/>
                <w:sz w:val="20"/>
                <w:szCs w:val="20"/>
                <w:lang w:val="en-GB" w:eastAsia="en-NZ"/>
              </w:rPr>
              <w:t>EXCELLENT</w:t>
            </w:r>
            <w:r w:rsidRPr="00C1712E">
              <w:rPr>
                <w:rFonts w:eastAsia="Arial" w:cs="Arial"/>
                <w:b/>
                <w:color w:val="FFFFFF" w:themeColor="background1"/>
                <w:sz w:val="20"/>
                <w:szCs w:val="20"/>
                <w:lang w:val="en-GB"/>
              </w:rPr>
              <w:t xml:space="preserve">   </w:t>
            </w:r>
            <w:r w:rsidRPr="43BCCD07">
              <w:rPr>
                <w:rFonts w:eastAsia="Arial" w:cs="Arial"/>
                <w:b/>
                <w:color w:val="FFFFFF" w:themeColor="background1"/>
                <w:sz w:val="20"/>
                <w:szCs w:val="20"/>
                <w:lang w:val="en-GB"/>
              </w:rPr>
              <w:t xml:space="preserve">           </w:t>
            </w:r>
          </w:p>
        </w:tc>
        <w:tc>
          <w:tcPr>
            <w:tcW w:w="6109" w:type="dxa"/>
            <w:tcBorders>
              <w:top w:val="single" w:sz="6" w:space="0" w:color="auto"/>
              <w:left w:val="single" w:sz="6" w:space="0" w:color="auto"/>
              <w:bottom w:val="single" w:sz="6" w:space="0" w:color="auto"/>
              <w:right w:val="single" w:sz="6" w:space="0" w:color="auto"/>
            </w:tcBorders>
            <w:shd w:val="clear" w:color="auto" w:fill="FFFFFF" w:themeFill="background1"/>
          </w:tcPr>
          <w:p w14:paraId="3E48B7F6" w14:textId="77777777" w:rsidR="008F160A" w:rsidRDefault="008F160A" w:rsidP="00425722">
            <w:pPr>
              <w:spacing w:before="120" w:after="120"/>
              <w:jc w:val="both"/>
              <w:rPr>
                <w:rFonts w:eastAsia="Arial" w:cs="Arial"/>
                <w:sz w:val="20"/>
                <w:szCs w:val="20"/>
              </w:rPr>
            </w:pPr>
            <w:r w:rsidRPr="00BE5D78">
              <w:rPr>
                <w:rFonts w:eastAsiaTheme="minorEastAsia" w:cs="Arial"/>
                <w:b/>
                <w:bCs/>
                <w:sz w:val="20"/>
                <w:szCs w:val="20"/>
                <w:lang w:val="en-GB" w:eastAsia="en-NZ"/>
              </w:rPr>
              <w:t>Exceeds the requirement:</w:t>
            </w:r>
            <w:r>
              <w:rPr>
                <w:rFonts w:eastAsiaTheme="minorEastAsia" w:cs="Arial"/>
                <w:sz w:val="20"/>
                <w:szCs w:val="20"/>
                <w:lang w:val="en-GB" w:eastAsia="en-NZ"/>
              </w:rPr>
              <w:t xml:space="preserve"> </w:t>
            </w:r>
            <w:r w:rsidRPr="4B1EACD5">
              <w:rPr>
                <w:rFonts w:eastAsiaTheme="minorEastAsia" w:cs="Arial"/>
                <w:sz w:val="20"/>
                <w:szCs w:val="20"/>
                <w:lang w:val="en-GB" w:eastAsia="en-NZ"/>
              </w:rPr>
              <w:t>Exceptional demonstration by the Respondent of the relevant ability, understanding, experience, skills, resource &amp; quality measures required to provide the goods / services. The Proposal identifies factors that will offer potential added value, with evidence to support the response.</w:t>
            </w:r>
          </w:p>
        </w:tc>
        <w:tc>
          <w:tcPr>
            <w:tcW w:w="97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C63189" w14:textId="77777777" w:rsidR="008F160A" w:rsidRDefault="008F160A" w:rsidP="00425722">
            <w:pPr>
              <w:tabs>
                <w:tab w:val="left" w:pos="301"/>
              </w:tabs>
              <w:spacing w:after="0"/>
              <w:ind w:left="18"/>
              <w:jc w:val="center"/>
              <w:rPr>
                <w:rFonts w:eastAsia="Arial" w:cs="Arial"/>
                <w:sz w:val="20"/>
                <w:szCs w:val="20"/>
              </w:rPr>
            </w:pPr>
            <w:r>
              <w:rPr>
                <w:rFonts w:eastAsia="Arial" w:cs="Arial"/>
                <w:sz w:val="20"/>
                <w:szCs w:val="20"/>
              </w:rPr>
              <w:t>5</w:t>
            </w:r>
          </w:p>
        </w:tc>
      </w:tr>
      <w:tr w:rsidR="008F160A" w14:paraId="392501EA" w14:textId="77777777" w:rsidTr="00425722">
        <w:tc>
          <w:tcPr>
            <w:tcW w:w="197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18946079" w14:textId="77777777" w:rsidR="008F160A" w:rsidRPr="43BCCD07" w:rsidRDefault="008F160A" w:rsidP="00425722">
            <w:pPr>
              <w:spacing w:after="0"/>
              <w:ind w:left="22"/>
              <w:rPr>
                <w:rFonts w:eastAsia="Arial" w:cs="Arial"/>
                <w:b/>
                <w:color w:val="FFFFFF" w:themeColor="background1"/>
                <w:sz w:val="20"/>
                <w:szCs w:val="20"/>
                <w:lang w:val="en-GB"/>
              </w:rPr>
            </w:pPr>
            <w:r w:rsidRPr="43BCCD07">
              <w:rPr>
                <w:rFonts w:eastAsia="Arial" w:cs="Arial"/>
                <w:b/>
                <w:color w:val="FFFFFF" w:themeColor="background1"/>
                <w:sz w:val="20"/>
                <w:szCs w:val="20"/>
                <w:lang w:val="en-GB"/>
              </w:rPr>
              <w:t xml:space="preserve">GOOD  </w:t>
            </w:r>
          </w:p>
        </w:tc>
        <w:tc>
          <w:tcPr>
            <w:tcW w:w="6109" w:type="dxa"/>
            <w:tcBorders>
              <w:top w:val="single" w:sz="6" w:space="0" w:color="auto"/>
              <w:left w:val="single" w:sz="6" w:space="0" w:color="auto"/>
              <w:bottom w:val="single" w:sz="6" w:space="0" w:color="auto"/>
              <w:right w:val="single" w:sz="6" w:space="0" w:color="auto"/>
            </w:tcBorders>
            <w:shd w:val="clear" w:color="auto" w:fill="FFFFFF" w:themeFill="background1"/>
          </w:tcPr>
          <w:p w14:paraId="0F45CCD0" w14:textId="77777777" w:rsidR="008F160A" w:rsidRPr="43BCCD07" w:rsidRDefault="008F160A" w:rsidP="00425722">
            <w:pPr>
              <w:spacing w:before="120" w:after="120"/>
              <w:jc w:val="both"/>
              <w:rPr>
                <w:rFonts w:eastAsia="Arial" w:cs="Arial"/>
                <w:sz w:val="20"/>
                <w:szCs w:val="20"/>
                <w:lang w:val="en-GB"/>
              </w:rPr>
            </w:pPr>
            <w:r w:rsidRPr="00BE5D78">
              <w:rPr>
                <w:rFonts w:eastAsia="Arial" w:cs="Arial"/>
                <w:b/>
                <w:bCs/>
                <w:sz w:val="20"/>
                <w:szCs w:val="20"/>
                <w:lang w:val="en-GB"/>
              </w:rPr>
              <w:t>Satisfies the requirement</w:t>
            </w:r>
            <w:r>
              <w:rPr>
                <w:rFonts w:eastAsia="Arial" w:cs="Arial"/>
                <w:sz w:val="20"/>
                <w:szCs w:val="20"/>
                <w:lang w:val="en-GB"/>
              </w:rPr>
              <w:t xml:space="preserve"> M</w:t>
            </w:r>
            <w:r w:rsidRPr="43BCCD07">
              <w:rPr>
                <w:rFonts w:eastAsia="Arial" w:cs="Arial"/>
                <w:sz w:val="20"/>
                <w:szCs w:val="20"/>
                <w:lang w:val="en-GB"/>
              </w:rPr>
              <w:t>inor additional benefits. Above average demonstration by the Respondent of the relevant ability, understanding, experience, skills, resource &amp; quality measures required to provide the goods / services. The Proposal identifies factors that will offer potential added value, with evidence to support the response.</w:t>
            </w:r>
          </w:p>
        </w:tc>
        <w:tc>
          <w:tcPr>
            <w:tcW w:w="97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CF0CA6" w14:textId="77777777" w:rsidR="008F160A" w:rsidRPr="43BCCD07" w:rsidRDefault="008F160A" w:rsidP="00425722">
            <w:pPr>
              <w:tabs>
                <w:tab w:val="left" w:pos="301"/>
              </w:tabs>
              <w:spacing w:after="0"/>
              <w:ind w:left="18"/>
              <w:jc w:val="center"/>
              <w:rPr>
                <w:rFonts w:eastAsia="Arial" w:cs="Arial"/>
                <w:b/>
                <w:sz w:val="20"/>
                <w:szCs w:val="20"/>
                <w:lang w:val="en-GB"/>
              </w:rPr>
            </w:pPr>
            <w:r w:rsidRPr="43BCCD07">
              <w:rPr>
                <w:rFonts w:eastAsia="Arial" w:cs="Arial"/>
                <w:b/>
                <w:sz w:val="20"/>
                <w:szCs w:val="20"/>
                <w:lang w:val="en-GB"/>
              </w:rPr>
              <w:t>4</w:t>
            </w:r>
          </w:p>
        </w:tc>
      </w:tr>
      <w:tr w:rsidR="008F160A" w14:paraId="05012048" w14:textId="77777777" w:rsidTr="00425722">
        <w:tc>
          <w:tcPr>
            <w:tcW w:w="197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5BC73E08" w14:textId="77777777" w:rsidR="008F160A" w:rsidRDefault="008F160A" w:rsidP="00425722">
            <w:pPr>
              <w:spacing w:after="0"/>
              <w:rPr>
                <w:rFonts w:eastAsia="Arial" w:cs="Arial"/>
                <w:color w:val="FFFFFF" w:themeColor="background1"/>
                <w:sz w:val="20"/>
                <w:szCs w:val="20"/>
              </w:rPr>
            </w:pPr>
            <w:r w:rsidRPr="43BCCD07">
              <w:rPr>
                <w:rFonts w:eastAsia="Arial" w:cs="Arial"/>
                <w:b/>
                <w:color w:val="FFFFFF" w:themeColor="background1"/>
                <w:sz w:val="20"/>
                <w:szCs w:val="20"/>
                <w:lang w:val="en-GB"/>
              </w:rPr>
              <w:t xml:space="preserve">ACCEPTABLE       </w:t>
            </w:r>
          </w:p>
        </w:tc>
        <w:tc>
          <w:tcPr>
            <w:tcW w:w="6109" w:type="dxa"/>
            <w:tcBorders>
              <w:top w:val="single" w:sz="6" w:space="0" w:color="auto"/>
              <w:left w:val="single" w:sz="6" w:space="0" w:color="auto"/>
              <w:bottom w:val="single" w:sz="6" w:space="0" w:color="auto"/>
              <w:right w:val="single" w:sz="6" w:space="0" w:color="auto"/>
            </w:tcBorders>
            <w:shd w:val="clear" w:color="auto" w:fill="FFFFFF" w:themeFill="background1"/>
          </w:tcPr>
          <w:p w14:paraId="05A39273" w14:textId="77777777" w:rsidR="008F160A" w:rsidRDefault="008F160A" w:rsidP="00425722">
            <w:pPr>
              <w:spacing w:before="120" w:after="120"/>
              <w:jc w:val="both"/>
              <w:rPr>
                <w:rFonts w:eastAsia="Arial" w:cs="Arial"/>
                <w:sz w:val="20"/>
                <w:szCs w:val="20"/>
              </w:rPr>
            </w:pPr>
            <w:r w:rsidRPr="43BCCD07">
              <w:rPr>
                <w:rFonts w:eastAsia="Arial" w:cs="Arial"/>
                <w:sz w:val="20"/>
                <w:szCs w:val="20"/>
                <w:lang w:val="en-GB"/>
              </w:rPr>
              <w:t>Satisfies the requirement. Demonstration by the Respondent of the relevant ability, understanding, experience, skills, resource &amp; quality measures required to provide the supplies / services, with evidence to support the response.</w:t>
            </w:r>
          </w:p>
        </w:tc>
        <w:tc>
          <w:tcPr>
            <w:tcW w:w="97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35FB93" w14:textId="77777777" w:rsidR="008F160A" w:rsidRDefault="008F160A" w:rsidP="00425722">
            <w:pPr>
              <w:spacing w:after="0"/>
              <w:ind w:left="18"/>
              <w:jc w:val="center"/>
              <w:rPr>
                <w:rFonts w:eastAsia="Arial" w:cs="Arial"/>
                <w:sz w:val="20"/>
                <w:szCs w:val="20"/>
              </w:rPr>
            </w:pPr>
            <w:r w:rsidRPr="43BCCD07">
              <w:rPr>
                <w:rFonts w:eastAsia="Arial" w:cs="Arial"/>
                <w:b/>
                <w:sz w:val="20"/>
                <w:szCs w:val="20"/>
                <w:lang w:val="en-GB"/>
              </w:rPr>
              <w:t>3</w:t>
            </w:r>
          </w:p>
        </w:tc>
      </w:tr>
      <w:tr w:rsidR="008F160A" w14:paraId="283BDC7C" w14:textId="77777777" w:rsidTr="00425722">
        <w:tc>
          <w:tcPr>
            <w:tcW w:w="197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17401099" w14:textId="77777777" w:rsidR="008F160A" w:rsidRDefault="008F160A" w:rsidP="00425722">
            <w:pPr>
              <w:spacing w:after="0"/>
              <w:rPr>
                <w:rFonts w:eastAsia="Arial" w:cs="Arial"/>
                <w:color w:val="FFFFFF" w:themeColor="background1"/>
                <w:sz w:val="20"/>
                <w:szCs w:val="20"/>
              </w:rPr>
            </w:pPr>
            <w:r w:rsidRPr="43BCCD07">
              <w:rPr>
                <w:rFonts w:eastAsia="Arial" w:cs="Arial"/>
                <w:b/>
                <w:color w:val="FFFFFF" w:themeColor="background1"/>
                <w:sz w:val="20"/>
                <w:szCs w:val="20"/>
                <w:lang w:val="en-GB"/>
              </w:rPr>
              <w:t xml:space="preserve">RESERVATIONS </w:t>
            </w:r>
          </w:p>
        </w:tc>
        <w:tc>
          <w:tcPr>
            <w:tcW w:w="6109" w:type="dxa"/>
            <w:tcBorders>
              <w:top w:val="single" w:sz="6" w:space="0" w:color="auto"/>
              <w:left w:val="single" w:sz="6" w:space="0" w:color="auto"/>
              <w:bottom w:val="single" w:sz="6" w:space="0" w:color="auto"/>
              <w:right w:val="single" w:sz="6" w:space="0" w:color="auto"/>
            </w:tcBorders>
            <w:shd w:val="clear" w:color="auto" w:fill="FFFFFF" w:themeFill="background1"/>
          </w:tcPr>
          <w:p w14:paraId="0FC97808" w14:textId="77777777" w:rsidR="008F160A" w:rsidRDefault="008F160A" w:rsidP="00425722">
            <w:pPr>
              <w:spacing w:before="120" w:after="120"/>
              <w:jc w:val="both"/>
              <w:rPr>
                <w:rFonts w:eastAsia="Arial" w:cs="Arial"/>
                <w:sz w:val="20"/>
                <w:szCs w:val="20"/>
              </w:rPr>
            </w:pPr>
            <w:r w:rsidRPr="43BCCD07">
              <w:rPr>
                <w:rFonts w:eastAsia="Arial" w:cs="Arial"/>
                <w:sz w:val="20"/>
                <w:szCs w:val="20"/>
                <w:lang w:val="en-GB"/>
              </w:rPr>
              <w:t>Satisfies the requirement with minor reservations. Some minor reservations of the Respondent’s relevant ability, understanding, experience, skills, resource &amp; quality measures required to provide the goods / services, with little or no evidence to support the response.</w:t>
            </w:r>
          </w:p>
        </w:tc>
        <w:tc>
          <w:tcPr>
            <w:tcW w:w="97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0E7218" w14:textId="77777777" w:rsidR="008F160A" w:rsidRDefault="008F160A" w:rsidP="00425722">
            <w:pPr>
              <w:spacing w:after="0"/>
              <w:ind w:left="18"/>
              <w:jc w:val="center"/>
              <w:rPr>
                <w:rFonts w:eastAsia="Arial" w:cs="Arial"/>
                <w:sz w:val="20"/>
                <w:szCs w:val="20"/>
              </w:rPr>
            </w:pPr>
            <w:r w:rsidRPr="43BCCD07">
              <w:rPr>
                <w:rFonts w:eastAsia="Arial" w:cs="Arial"/>
                <w:b/>
                <w:sz w:val="20"/>
                <w:szCs w:val="20"/>
                <w:lang w:val="en-GB"/>
              </w:rPr>
              <w:t>2</w:t>
            </w:r>
          </w:p>
        </w:tc>
      </w:tr>
      <w:tr w:rsidR="008F160A" w14:paraId="49B01113" w14:textId="77777777" w:rsidTr="00425722">
        <w:tc>
          <w:tcPr>
            <w:tcW w:w="197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1B864BC1" w14:textId="77777777" w:rsidR="008F160A" w:rsidRDefault="008F160A" w:rsidP="00425722">
            <w:pPr>
              <w:spacing w:after="0"/>
              <w:rPr>
                <w:rFonts w:eastAsia="Arial" w:cs="Arial"/>
                <w:color w:val="FFFFFF" w:themeColor="background1"/>
                <w:sz w:val="20"/>
                <w:szCs w:val="20"/>
              </w:rPr>
            </w:pPr>
            <w:r w:rsidRPr="43BCCD07">
              <w:rPr>
                <w:rFonts w:eastAsia="Arial" w:cs="Arial"/>
                <w:b/>
                <w:color w:val="FFFFFF" w:themeColor="background1"/>
                <w:sz w:val="20"/>
                <w:szCs w:val="20"/>
                <w:lang w:val="en-GB"/>
              </w:rPr>
              <w:t xml:space="preserve">SERIOUS RESERVATIONS </w:t>
            </w:r>
          </w:p>
        </w:tc>
        <w:tc>
          <w:tcPr>
            <w:tcW w:w="6109" w:type="dxa"/>
            <w:tcBorders>
              <w:top w:val="single" w:sz="6" w:space="0" w:color="auto"/>
              <w:left w:val="single" w:sz="6" w:space="0" w:color="auto"/>
              <w:bottom w:val="single" w:sz="6" w:space="0" w:color="auto"/>
              <w:right w:val="single" w:sz="6" w:space="0" w:color="auto"/>
            </w:tcBorders>
            <w:shd w:val="clear" w:color="auto" w:fill="FFFFFF" w:themeFill="background1"/>
          </w:tcPr>
          <w:p w14:paraId="0A14E244" w14:textId="77777777" w:rsidR="008F160A" w:rsidRDefault="008F160A" w:rsidP="00425722">
            <w:pPr>
              <w:spacing w:before="120" w:after="120"/>
              <w:jc w:val="both"/>
              <w:rPr>
                <w:rFonts w:eastAsia="Arial" w:cs="Arial"/>
                <w:sz w:val="20"/>
                <w:szCs w:val="20"/>
              </w:rPr>
            </w:pPr>
            <w:r w:rsidRPr="43BCCD07">
              <w:rPr>
                <w:rFonts w:eastAsia="Arial" w:cs="Arial"/>
                <w:sz w:val="20"/>
                <w:szCs w:val="20"/>
                <w:lang w:val="en-GB"/>
              </w:rPr>
              <w:t>Satisfies the requirement with major reservations. Considerable reservations of the Respondent’s relevant ability, understanding, experience, skills, resource &amp; quality measures required to provide the goods / services, with little or no evidence to support the response.</w:t>
            </w:r>
          </w:p>
        </w:tc>
        <w:tc>
          <w:tcPr>
            <w:tcW w:w="97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38F230" w14:textId="77777777" w:rsidR="008F160A" w:rsidRDefault="008F160A" w:rsidP="00425722">
            <w:pPr>
              <w:spacing w:after="0"/>
              <w:ind w:left="18"/>
              <w:jc w:val="center"/>
              <w:rPr>
                <w:rFonts w:eastAsia="Arial" w:cs="Arial"/>
                <w:sz w:val="20"/>
                <w:szCs w:val="20"/>
              </w:rPr>
            </w:pPr>
            <w:r w:rsidRPr="43BCCD07">
              <w:rPr>
                <w:rFonts w:eastAsia="Arial" w:cs="Arial"/>
                <w:b/>
                <w:sz w:val="20"/>
                <w:szCs w:val="20"/>
                <w:lang w:val="en-GB"/>
              </w:rPr>
              <w:t>1</w:t>
            </w:r>
          </w:p>
        </w:tc>
      </w:tr>
      <w:tr w:rsidR="008F160A" w14:paraId="24235391" w14:textId="77777777" w:rsidTr="00425722">
        <w:tc>
          <w:tcPr>
            <w:tcW w:w="197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028BE67D" w14:textId="77777777" w:rsidR="008F160A" w:rsidRDefault="008F160A" w:rsidP="00425722">
            <w:pPr>
              <w:spacing w:after="0"/>
              <w:rPr>
                <w:rFonts w:eastAsia="Arial" w:cs="Arial"/>
                <w:color w:val="FFFFFF" w:themeColor="background1"/>
                <w:sz w:val="20"/>
                <w:szCs w:val="20"/>
              </w:rPr>
            </w:pPr>
            <w:r w:rsidRPr="43BCCD07">
              <w:rPr>
                <w:rFonts w:eastAsia="Arial" w:cs="Arial"/>
                <w:b/>
                <w:color w:val="FFFFFF" w:themeColor="background1"/>
                <w:sz w:val="20"/>
                <w:szCs w:val="20"/>
                <w:lang w:val="en-GB"/>
              </w:rPr>
              <w:t xml:space="preserve">UNACCEPTABLE </w:t>
            </w:r>
          </w:p>
        </w:tc>
        <w:tc>
          <w:tcPr>
            <w:tcW w:w="6109" w:type="dxa"/>
            <w:tcBorders>
              <w:top w:val="single" w:sz="6" w:space="0" w:color="auto"/>
              <w:left w:val="single" w:sz="6" w:space="0" w:color="auto"/>
              <w:bottom w:val="single" w:sz="6" w:space="0" w:color="auto"/>
              <w:right w:val="single" w:sz="6" w:space="0" w:color="auto"/>
            </w:tcBorders>
            <w:shd w:val="clear" w:color="auto" w:fill="FFFFFF" w:themeFill="background1"/>
          </w:tcPr>
          <w:p w14:paraId="4C16020E" w14:textId="77777777" w:rsidR="008F160A" w:rsidRDefault="008F160A" w:rsidP="00425722">
            <w:pPr>
              <w:spacing w:before="120" w:after="120"/>
              <w:jc w:val="both"/>
              <w:rPr>
                <w:rFonts w:eastAsia="Arial" w:cs="Arial"/>
                <w:sz w:val="20"/>
                <w:szCs w:val="20"/>
              </w:rPr>
            </w:pPr>
            <w:r w:rsidRPr="43BCCD07">
              <w:rPr>
                <w:rFonts w:eastAsia="Arial" w:cs="Arial"/>
                <w:sz w:val="20"/>
                <w:szCs w:val="20"/>
                <w:lang w:val="en-GB"/>
              </w:rPr>
              <w:t>Does not meet the requirement. Does not comply and/or insufficient information provided to demonstrate that the Respondent has the ability, understanding, experience, skills, resource &amp; quality measures required to provide the goods / services, with little or no evidence to support the response.</w:t>
            </w:r>
          </w:p>
        </w:tc>
        <w:tc>
          <w:tcPr>
            <w:tcW w:w="97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59B938" w14:textId="77777777" w:rsidR="008F160A" w:rsidRDefault="008F160A" w:rsidP="00425722">
            <w:pPr>
              <w:spacing w:after="0"/>
              <w:ind w:left="18"/>
              <w:jc w:val="center"/>
              <w:rPr>
                <w:rFonts w:eastAsia="Arial" w:cs="Arial"/>
                <w:sz w:val="20"/>
                <w:szCs w:val="20"/>
              </w:rPr>
            </w:pPr>
            <w:r w:rsidRPr="43BCCD07">
              <w:rPr>
                <w:rFonts w:eastAsia="Arial" w:cs="Arial"/>
                <w:b/>
                <w:sz w:val="20"/>
                <w:szCs w:val="20"/>
                <w:lang w:val="en-GB"/>
              </w:rPr>
              <w:t>0</w:t>
            </w:r>
          </w:p>
        </w:tc>
      </w:tr>
    </w:tbl>
    <w:p w14:paraId="4B3CF581" w14:textId="77777777" w:rsidR="00CB1221" w:rsidRDefault="00CB1221" w:rsidP="00CB1221">
      <w:pPr>
        <w:pStyle w:val="BodyText"/>
        <w:spacing w:before="120" w:after="120" w:line="276" w:lineRule="auto"/>
        <w:rPr>
          <w:b/>
          <w:bCs/>
          <w:color w:val="193D64"/>
          <w:sz w:val="32"/>
          <w:szCs w:val="32"/>
        </w:rPr>
      </w:pPr>
    </w:p>
    <w:p w14:paraId="304D8181" w14:textId="24E707DE" w:rsidR="00111A86" w:rsidRDefault="00111A86" w:rsidP="00111A86">
      <w:pPr>
        <w:pStyle w:val="BodyText"/>
        <w:spacing w:before="240" w:line="276" w:lineRule="auto"/>
        <w:rPr>
          <w:b/>
          <w:bCs/>
          <w:color w:val="193D64"/>
          <w:sz w:val="32"/>
          <w:szCs w:val="32"/>
        </w:rPr>
      </w:pPr>
      <w:r>
        <w:rPr>
          <w:b/>
          <w:bCs/>
          <w:color w:val="193D64"/>
          <w:sz w:val="32"/>
          <w:szCs w:val="32"/>
        </w:rPr>
        <w:lastRenderedPageBreak/>
        <w:t>Evaluation Process</w:t>
      </w:r>
    </w:p>
    <w:p w14:paraId="7BB9EFE8" w14:textId="4B6301EB" w:rsidR="00CB1221" w:rsidRPr="00111A86" w:rsidRDefault="00CB1221" w:rsidP="00111A86">
      <w:pPr>
        <w:pStyle w:val="BodyText"/>
        <w:spacing w:before="120" w:after="120" w:line="276" w:lineRule="auto"/>
        <w:rPr>
          <w:b/>
          <w:bCs/>
          <w:color w:val="193D64"/>
        </w:rPr>
      </w:pPr>
      <w:r w:rsidRPr="00111A86">
        <w:rPr>
          <w:b/>
          <w:bCs/>
          <w:color w:val="193D64"/>
        </w:rPr>
        <w:t>Initial Evaluation</w:t>
      </w:r>
    </w:p>
    <w:p w14:paraId="3D198CE1" w14:textId="7C57F54C" w:rsidR="00CB1221" w:rsidRDefault="00CB1221" w:rsidP="00EA6C4F">
      <w:pPr>
        <w:spacing w:before="120" w:after="120" w:line="276" w:lineRule="auto"/>
        <w:jc w:val="both"/>
        <w:rPr>
          <w:sz w:val="20"/>
          <w:szCs w:val="20"/>
          <w:lang w:val="en-US"/>
        </w:rPr>
      </w:pPr>
      <w:r>
        <w:rPr>
          <w:sz w:val="20"/>
          <w:szCs w:val="20"/>
          <w:lang w:val="en-US"/>
        </w:rPr>
        <w:t xml:space="preserve">Completed applications submitted prior to the </w:t>
      </w:r>
      <w:r w:rsidR="001D3BEA">
        <w:rPr>
          <w:sz w:val="20"/>
          <w:szCs w:val="20"/>
          <w:lang w:val="en-US"/>
        </w:rPr>
        <w:t>24</w:t>
      </w:r>
      <w:r w:rsidR="001D3BEA" w:rsidRPr="001D3BEA">
        <w:rPr>
          <w:sz w:val="20"/>
          <w:szCs w:val="20"/>
          <w:vertAlign w:val="superscript"/>
          <w:lang w:val="en-US"/>
        </w:rPr>
        <w:t>th</w:t>
      </w:r>
      <w:r w:rsidR="001D3BEA">
        <w:rPr>
          <w:sz w:val="20"/>
          <w:szCs w:val="20"/>
          <w:lang w:val="en-US"/>
        </w:rPr>
        <w:t xml:space="preserve"> </w:t>
      </w:r>
      <w:r>
        <w:rPr>
          <w:sz w:val="20"/>
          <w:szCs w:val="20"/>
          <w:lang w:val="en-US"/>
        </w:rPr>
        <w:t>of November 2023 will be submitted for evaluation.</w:t>
      </w:r>
    </w:p>
    <w:p w14:paraId="2735A340" w14:textId="26BB6580" w:rsidR="00CB1221" w:rsidRDefault="00CB1221" w:rsidP="00EA6C4F">
      <w:pPr>
        <w:spacing w:before="120" w:after="120" w:line="276" w:lineRule="auto"/>
        <w:jc w:val="both"/>
        <w:rPr>
          <w:sz w:val="20"/>
          <w:szCs w:val="20"/>
          <w:lang w:val="en-US"/>
        </w:rPr>
      </w:pPr>
      <w:r w:rsidRPr="00CB1221">
        <w:rPr>
          <w:sz w:val="20"/>
          <w:szCs w:val="20"/>
          <w:lang w:val="en-US"/>
        </w:rPr>
        <w:t>If we receive more than 40 applications</w:t>
      </w:r>
      <w:r w:rsidRPr="006D689B">
        <w:rPr>
          <w:sz w:val="20"/>
          <w:szCs w:val="20"/>
          <w:lang w:val="en-US"/>
        </w:rPr>
        <w:t xml:space="preserve">, an initial evaluation process will be completed </w:t>
      </w:r>
      <w:r w:rsidRPr="00CB1221">
        <w:rPr>
          <w:sz w:val="20"/>
          <w:szCs w:val="20"/>
          <w:lang w:val="en-US"/>
        </w:rPr>
        <w:t>to shortlist submitted applications for full evaluation</w:t>
      </w:r>
      <w:r w:rsidRPr="006D689B">
        <w:rPr>
          <w:sz w:val="20"/>
          <w:szCs w:val="20"/>
          <w:lang w:val="en-US"/>
        </w:rPr>
        <w:t>.</w:t>
      </w:r>
    </w:p>
    <w:p w14:paraId="3B96AAE1" w14:textId="295B87FA" w:rsidR="00DE6BCB" w:rsidRDefault="00DE6BCB" w:rsidP="00EA6C4F">
      <w:pPr>
        <w:spacing w:before="120" w:after="120" w:line="276" w:lineRule="auto"/>
        <w:jc w:val="both"/>
        <w:rPr>
          <w:rFonts w:cs="Arial"/>
          <w:sz w:val="20"/>
          <w:szCs w:val="20"/>
          <w:lang w:val="en-US"/>
        </w:rPr>
      </w:pPr>
      <w:r>
        <w:rPr>
          <w:rFonts w:cs="Arial"/>
          <w:sz w:val="20"/>
          <w:szCs w:val="20"/>
          <w:lang w:val="en-US"/>
        </w:rPr>
        <w:t xml:space="preserve">The Initial Evaluation Panel will consist of up to three people from both Te Aka Whai Ora and </w:t>
      </w:r>
      <w:r w:rsidRPr="009638B5">
        <w:rPr>
          <w:rFonts w:cs="Arial"/>
          <w:sz w:val="20"/>
          <w:szCs w:val="20"/>
          <w:lang w:val="en-US"/>
        </w:rPr>
        <w:t>Te Whatu Ora</w:t>
      </w:r>
      <w:r>
        <w:rPr>
          <w:rFonts w:cs="Arial"/>
          <w:sz w:val="20"/>
          <w:szCs w:val="20"/>
          <w:lang w:val="en-US"/>
        </w:rPr>
        <w:t xml:space="preserve">.  These people will be different people to those on the evaluation Panel detailed below. </w:t>
      </w:r>
      <w:r w:rsidRPr="009638B5">
        <w:rPr>
          <w:sz w:val="20"/>
          <w:szCs w:val="20"/>
          <w:lang w:val="en-US"/>
        </w:rPr>
        <w:t xml:space="preserve">The aim of this group will be to initially assess </w:t>
      </w:r>
      <w:r w:rsidRPr="003669D8">
        <w:rPr>
          <w:sz w:val="20"/>
          <w:szCs w:val="20"/>
          <w:lang w:val="en-US"/>
        </w:rPr>
        <w:t>all submitted applications against the</w:t>
      </w:r>
      <w:r w:rsidRPr="009638B5">
        <w:rPr>
          <w:sz w:val="20"/>
          <w:szCs w:val="20"/>
          <w:lang w:val="en-US"/>
        </w:rPr>
        <w:t xml:space="preserve"> </w:t>
      </w:r>
      <w:r>
        <w:rPr>
          <w:sz w:val="20"/>
          <w:szCs w:val="20"/>
          <w:lang w:val="en-US"/>
        </w:rPr>
        <w:t xml:space="preserve">weighted </w:t>
      </w:r>
      <w:r w:rsidRPr="009638B5">
        <w:rPr>
          <w:sz w:val="20"/>
          <w:szCs w:val="20"/>
          <w:lang w:val="en-US"/>
        </w:rPr>
        <w:t>evaluation criteria:</w:t>
      </w:r>
      <w:r>
        <w:rPr>
          <w:sz w:val="20"/>
          <w:szCs w:val="20"/>
          <w:lang w:val="en-US"/>
        </w:rPr>
        <w:t xml:space="preserve"> </w:t>
      </w:r>
    </w:p>
    <w:p w14:paraId="1E265334" w14:textId="77777777" w:rsidR="00DE6BCB" w:rsidRPr="003669D8" w:rsidRDefault="00DE6BCB" w:rsidP="00EA6C4F">
      <w:pPr>
        <w:pStyle w:val="ListParagraph"/>
        <w:numPr>
          <w:ilvl w:val="0"/>
          <w:numId w:val="22"/>
        </w:numPr>
        <w:spacing w:before="120" w:after="120" w:line="276" w:lineRule="auto"/>
        <w:jc w:val="both"/>
        <w:rPr>
          <w:rFonts w:cs="Arial"/>
          <w:sz w:val="20"/>
          <w:szCs w:val="20"/>
          <w:lang w:val="en-US"/>
        </w:rPr>
      </w:pPr>
      <w:r w:rsidRPr="003669D8">
        <w:rPr>
          <w:rFonts w:cs="Arial"/>
          <w:sz w:val="20"/>
          <w:szCs w:val="20"/>
          <w:lang w:val="en-US"/>
        </w:rPr>
        <w:t>Providing innovative solutions,</w:t>
      </w:r>
    </w:p>
    <w:p w14:paraId="3F52C716" w14:textId="77777777" w:rsidR="00DE6BCB" w:rsidRDefault="00DE6BCB" w:rsidP="00EA6C4F">
      <w:pPr>
        <w:pStyle w:val="ListParagraph"/>
        <w:numPr>
          <w:ilvl w:val="0"/>
          <w:numId w:val="21"/>
        </w:numPr>
        <w:spacing w:before="120" w:after="120" w:line="276" w:lineRule="auto"/>
        <w:jc w:val="both"/>
        <w:rPr>
          <w:rFonts w:cs="Arial"/>
          <w:sz w:val="20"/>
          <w:szCs w:val="20"/>
          <w:lang w:val="en-US"/>
        </w:rPr>
      </w:pPr>
      <w:r>
        <w:rPr>
          <w:rFonts w:cs="Arial"/>
          <w:sz w:val="20"/>
          <w:szCs w:val="20"/>
          <w:lang w:val="en-US"/>
        </w:rPr>
        <w:t>Delivering community-led support,</w:t>
      </w:r>
    </w:p>
    <w:p w14:paraId="65AC5E9F" w14:textId="77777777" w:rsidR="00DE6BCB" w:rsidRDefault="00DE6BCB" w:rsidP="00EA6C4F">
      <w:pPr>
        <w:pStyle w:val="ListParagraph"/>
        <w:numPr>
          <w:ilvl w:val="0"/>
          <w:numId w:val="21"/>
        </w:numPr>
        <w:spacing w:before="120" w:after="120" w:line="276" w:lineRule="auto"/>
        <w:jc w:val="both"/>
        <w:rPr>
          <w:rFonts w:cs="Arial"/>
          <w:sz w:val="20"/>
          <w:szCs w:val="20"/>
          <w:lang w:val="en-US"/>
        </w:rPr>
      </w:pPr>
      <w:r w:rsidRPr="00954F77">
        <w:rPr>
          <w:rFonts w:cs="Arial"/>
          <w:sz w:val="20"/>
          <w:szCs w:val="20"/>
          <w:lang w:val="en-US"/>
        </w:rPr>
        <w:t>Reducing inequities for priority populations</w:t>
      </w:r>
      <w:r>
        <w:rPr>
          <w:rFonts w:cs="Arial"/>
          <w:sz w:val="20"/>
          <w:szCs w:val="20"/>
          <w:lang w:val="en-US"/>
        </w:rPr>
        <w:t>, and</w:t>
      </w:r>
    </w:p>
    <w:p w14:paraId="20B6EC7B" w14:textId="77777777" w:rsidR="00DE6BCB" w:rsidRPr="003669D8" w:rsidRDefault="00DE6BCB" w:rsidP="00EA6C4F">
      <w:pPr>
        <w:pStyle w:val="ListParagraph"/>
        <w:numPr>
          <w:ilvl w:val="0"/>
          <w:numId w:val="21"/>
        </w:numPr>
        <w:spacing w:before="120" w:after="120" w:line="276" w:lineRule="auto"/>
        <w:jc w:val="both"/>
        <w:rPr>
          <w:rFonts w:cs="Arial"/>
          <w:sz w:val="20"/>
          <w:szCs w:val="20"/>
          <w:lang w:val="en-US"/>
        </w:rPr>
      </w:pPr>
      <w:r>
        <w:rPr>
          <w:rFonts w:cs="Arial"/>
          <w:sz w:val="20"/>
          <w:szCs w:val="20"/>
          <w:lang w:val="en-US"/>
        </w:rPr>
        <w:t>Capability and capacity to deliver</w:t>
      </w:r>
      <w:r w:rsidRPr="00954F77">
        <w:rPr>
          <w:rFonts w:cs="Arial"/>
          <w:sz w:val="20"/>
          <w:szCs w:val="20"/>
          <w:lang w:val="en-US"/>
        </w:rPr>
        <w:t>.</w:t>
      </w:r>
    </w:p>
    <w:p w14:paraId="249AE1AF" w14:textId="1672B429" w:rsidR="00DE6BCB" w:rsidRPr="00591080" w:rsidRDefault="00DE6BCB" w:rsidP="00EA6C4F">
      <w:pPr>
        <w:spacing w:before="120" w:after="120" w:line="276" w:lineRule="auto"/>
        <w:jc w:val="both"/>
        <w:rPr>
          <w:sz w:val="20"/>
          <w:szCs w:val="20"/>
          <w:lang w:val="en-US"/>
        </w:rPr>
      </w:pPr>
      <w:r w:rsidRPr="003669D8">
        <w:rPr>
          <w:sz w:val="20"/>
          <w:szCs w:val="20"/>
          <w:lang w:val="en-US"/>
        </w:rPr>
        <w:t>The panel will meet to consider all applications</w:t>
      </w:r>
      <w:r w:rsidR="001D3BEA">
        <w:rPr>
          <w:sz w:val="20"/>
          <w:szCs w:val="20"/>
          <w:lang w:val="en-US"/>
        </w:rPr>
        <w:t xml:space="preserve">, </w:t>
      </w:r>
      <w:r w:rsidRPr="003669D8">
        <w:rPr>
          <w:sz w:val="20"/>
          <w:szCs w:val="20"/>
          <w:lang w:val="en-US"/>
        </w:rPr>
        <w:t xml:space="preserve">evaluate </w:t>
      </w:r>
      <w:r w:rsidR="001D3BEA">
        <w:rPr>
          <w:sz w:val="20"/>
          <w:szCs w:val="20"/>
          <w:lang w:val="en-US"/>
        </w:rPr>
        <w:t xml:space="preserve">them </w:t>
      </w:r>
      <w:r w:rsidRPr="003669D8">
        <w:rPr>
          <w:sz w:val="20"/>
          <w:szCs w:val="20"/>
          <w:lang w:val="en-US"/>
        </w:rPr>
        <w:t>together and reach consensus</w:t>
      </w:r>
      <w:r>
        <w:rPr>
          <w:sz w:val="20"/>
          <w:szCs w:val="20"/>
          <w:lang w:val="en-US"/>
        </w:rPr>
        <w:t xml:space="preserve"> weighted</w:t>
      </w:r>
      <w:r w:rsidRPr="003669D8">
        <w:rPr>
          <w:sz w:val="20"/>
          <w:szCs w:val="20"/>
          <w:lang w:val="en-US"/>
        </w:rPr>
        <w:t xml:space="preserve"> scores</w:t>
      </w:r>
      <w:r w:rsidR="001D3BEA">
        <w:rPr>
          <w:sz w:val="20"/>
          <w:szCs w:val="20"/>
          <w:lang w:val="en-US"/>
        </w:rPr>
        <w:t xml:space="preserve"> </w:t>
      </w:r>
      <w:r w:rsidRPr="003669D8">
        <w:rPr>
          <w:sz w:val="20"/>
          <w:szCs w:val="20"/>
          <w:lang w:val="en-US"/>
        </w:rPr>
        <w:t xml:space="preserve">(using the rating scale) against each of the criteria for all applications.  Once all applications have been scored, the applications will be ranked in order of scoring and the top 40 scoring applications will be submitted to the evaluation panel for full evaluation. Note the Initial Evaluation Panel reserves the right to submit additional applications for full evaluation if they score well (over 50%) against the evaluation criteria, and/or the Panel consider there may still be funding available in the funding envelope and/or the Initial Evaluation Panel believes the applications demonstrate value for money </w:t>
      </w:r>
      <w:r>
        <w:rPr>
          <w:sz w:val="20"/>
          <w:szCs w:val="20"/>
          <w:lang w:val="en-US"/>
        </w:rPr>
        <w:t>(</w:t>
      </w:r>
      <w:r w:rsidRPr="00031978">
        <w:rPr>
          <w:rFonts w:cs="Arial"/>
          <w:sz w:val="20"/>
          <w:szCs w:val="20"/>
        </w:rPr>
        <w:t xml:space="preserve">and this will include consideration of overall geographic coverage by all </w:t>
      </w:r>
      <w:r>
        <w:rPr>
          <w:rFonts w:cs="Arial"/>
          <w:sz w:val="20"/>
          <w:szCs w:val="20"/>
        </w:rPr>
        <w:t xml:space="preserve">recommended </w:t>
      </w:r>
      <w:r w:rsidRPr="00031978">
        <w:rPr>
          <w:rFonts w:cs="Arial"/>
          <w:sz w:val="20"/>
          <w:szCs w:val="20"/>
        </w:rPr>
        <w:t>initiatives combined</w:t>
      </w:r>
      <w:r>
        <w:rPr>
          <w:sz w:val="20"/>
          <w:szCs w:val="20"/>
          <w:lang w:val="en-US"/>
        </w:rPr>
        <w:t xml:space="preserve">) </w:t>
      </w:r>
      <w:r w:rsidRPr="003669D8">
        <w:rPr>
          <w:sz w:val="20"/>
          <w:szCs w:val="20"/>
          <w:lang w:val="en-US"/>
        </w:rPr>
        <w:t>and should be considered by the Evaluation Panel.</w:t>
      </w:r>
      <w:r>
        <w:rPr>
          <w:sz w:val="20"/>
          <w:szCs w:val="20"/>
          <w:lang w:val="en-US"/>
        </w:rPr>
        <w:t xml:space="preserve">  </w:t>
      </w:r>
    </w:p>
    <w:p w14:paraId="1E379239" w14:textId="77777777" w:rsidR="00DE6BCB" w:rsidRPr="00CB1221" w:rsidRDefault="00DE6BCB" w:rsidP="00EA6C4F">
      <w:pPr>
        <w:spacing w:before="120" w:after="120" w:line="276" w:lineRule="auto"/>
        <w:jc w:val="both"/>
        <w:rPr>
          <w:rFonts w:cs="Arial"/>
          <w:sz w:val="20"/>
          <w:szCs w:val="20"/>
          <w:lang w:val="en-US"/>
        </w:rPr>
      </w:pPr>
    </w:p>
    <w:p w14:paraId="2905B8C5" w14:textId="518EE96D" w:rsidR="00CB1221" w:rsidRPr="00111A86" w:rsidRDefault="00C3700A" w:rsidP="00EA6C4F">
      <w:pPr>
        <w:pStyle w:val="BodyText"/>
        <w:spacing w:before="120" w:after="120" w:line="276" w:lineRule="auto"/>
        <w:jc w:val="both"/>
        <w:rPr>
          <w:b/>
          <w:bCs/>
          <w:color w:val="193D64"/>
        </w:rPr>
      </w:pPr>
      <w:r w:rsidRPr="00111A86">
        <w:rPr>
          <w:b/>
          <w:bCs/>
          <w:color w:val="193D64"/>
        </w:rPr>
        <w:t xml:space="preserve">Full </w:t>
      </w:r>
      <w:r w:rsidR="00CB1221" w:rsidRPr="00111A86">
        <w:rPr>
          <w:b/>
          <w:bCs/>
          <w:color w:val="193D64"/>
        </w:rPr>
        <w:t xml:space="preserve">Evaluation </w:t>
      </w:r>
    </w:p>
    <w:p w14:paraId="5B8E2738" w14:textId="1665844A" w:rsidR="00CB1221" w:rsidRPr="00E1720A" w:rsidRDefault="00CB1221" w:rsidP="00EA6C4F">
      <w:pPr>
        <w:spacing w:before="120" w:after="120" w:line="276" w:lineRule="auto"/>
        <w:jc w:val="both"/>
        <w:rPr>
          <w:sz w:val="20"/>
          <w:szCs w:val="20"/>
          <w:lang w:val="en-US"/>
        </w:rPr>
      </w:pPr>
      <w:r w:rsidRPr="003252F8">
        <w:rPr>
          <w:rFonts w:cs="Arial"/>
          <w:sz w:val="20"/>
          <w:szCs w:val="20"/>
          <w:lang w:val="en-US"/>
        </w:rPr>
        <w:t xml:space="preserve">A cross-functional team will be involved in the evaluation of </w:t>
      </w:r>
      <w:r>
        <w:rPr>
          <w:rFonts w:cs="Arial"/>
          <w:sz w:val="20"/>
          <w:szCs w:val="20"/>
          <w:lang w:val="en-US"/>
        </w:rPr>
        <w:t>grant applications</w:t>
      </w:r>
      <w:r w:rsidRPr="003252F8">
        <w:rPr>
          <w:rFonts w:cs="Arial"/>
          <w:sz w:val="20"/>
          <w:szCs w:val="20"/>
          <w:lang w:val="en-US"/>
        </w:rPr>
        <w:t xml:space="preserve"> and recommending preferred </w:t>
      </w:r>
      <w:r>
        <w:rPr>
          <w:rFonts w:cs="Arial"/>
          <w:sz w:val="20"/>
          <w:szCs w:val="20"/>
          <w:lang w:val="en-US"/>
        </w:rPr>
        <w:t>recipients</w:t>
      </w:r>
      <w:r w:rsidRPr="003252F8">
        <w:rPr>
          <w:rFonts w:cs="Arial"/>
          <w:sz w:val="20"/>
          <w:szCs w:val="20"/>
          <w:lang w:val="en-US"/>
        </w:rPr>
        <w:t>.</w:t>
      </w:r>
      <w:r w:rsidRPr="17D58DE1">
        <w:rPr>
          <w:rFonts w:cs="Arial"/>
          <w:sz w:val="20"/>
          <w:szCs w:val="20"/>
          <w:lang w:val="en-US"/>
        </w:rPr>
        <w:t xml:space="preserve"> </w:t>
      </w:r>
    </w:p>
    <w:p w14:paraId="0A947D27" w14:textId="066D688D" w:rsidR="00CB1221" w:rsidRDefault="005132A4" w:rsidP="00EA6C4F">
      <w:pPr>
        <w:spacing w:before="120" w:after="120" w:line="276" w:lineRule="auto"/>
        <w:jc w:val="both"/>
        <w:rPr>
          <w:rFonts w:cs="Arial"/>
          <w:sz w:val="20"/>
          <w:szCs w:val="20"/>
          <w:lang w:val="en-US"/>
        </w:rPr>
      </w:pPr>
      <w:r>
        <w:rPr>
          <w:rFonts w:cs="Arial"/>
          <w:sz w:val="20"/>
          <w:szCs w:val="20"/>
          <w:lang w:val="en-US"/>
        </w:rPr>
        <w:t xml:space="preserve">The Full Evaluation Panel </w:t>
      </w:r>
      <w:r w:rsidR="004B547F">
        <w:rPr>
          <w:rFonts w:cs="Arial"/>
          <w:sz w:val="20"/>
          <w:szCs w:val="20"/>
          <w:lang w:val="en-US"/>
        </w:rPr>
        <w:t>member</w:t>
      </w:r>
      <w:r w:rsidR="00DD101B">
        <w:rPr>
          <w:rFonts w:cs="Arial"/>
          <w:sz w:val="20"/>
          <w:szCs w:val="20"/>
          <w:lang w:val="en-US"/>
        </w:rPr>
        <w:t xml:space="preserve">s will consist of </w:t>
      </w:r>
      <w:r w:rsidR="004B547F">
        <w:rPr>
          <w:rFonts w:cs="Arial"/>
          <w:sz w:val="20"/>
          <w:szCs w:val="20"/>
          <w:lang w:val="en-US"/>
        </w:rPr>
        <w:t xml:space="preserve">representatives </w:t>
      </w:r>
      <w:r w:rsidR="00DD101B">
        <w:rPr>
          <w:rFonts w:cs="Arial"/>
          <w:sz w:val="20"/>
          <w:szCs w:val="20"/>
          <w:lang w:val="en-US"/>
        </w:rPr>
        <w:t>from</w:t>
      </w:r>
      <w:r>
        <w:rPr>
          <w:rFonts w:cs="Arial"/>
          <w:sz w:val="20"/>
          <w:szCs w:val="20"/>
          <w:lang w:val="en-US"/>
        </w:rPr>
        <w:t>:</w:t>
      </w:r>
    </w:p>
    <w:p w14:paraId="6B6EAAE9" w14:textId="5321F9A1" w:rsidR="00DD101B" w:rsidRDefault="008E1FED" w:rsidP="00EA6C4F">
      <w:pPr>
        <w:pStyle w:val="ListParagraph"/>
        <w:numPr>
          <w:ilvl w:val="0"/>
          <w:numId w:val="23"/>
        </w:numPr>
        <w:spacing w:before="120" w:after="120" w:line="276" w:lineRule="auto"/>
        <w:jc w:val="both"/>
        <w:rPr>
          <w:rFonts w:cs="Arial"/>
          <w:sz w:val="20"/>
          <w:szCs w:val="20"/>
          <w:lang w:val="en-US"/>
        </w:rPr>
      </w:pPr>
      <w:r>
        <w:rPr>
          <w:rFonts w:cs="Arial"/>
          <w:sz w:val="20"/>
          <w:szCs w:val="20"/>
          <w:lang w:val="en-US"/>
        </w:rPr>
        <w:t>The Smokefree Taskforce</w:t>
      </w:r>
    </w:p>
    <w:p w14:paraId="160EBC3A" w14:textId="0307B4F6" w:rsidR="008E1FED" w:rsidRDefault="008E1FED" w:rsidP="00EA6C4F">
      <w:pPr>
        <w:pStyle w:val="ListParagraph"/>
        <w:numPr>
          <w:ilvl w:val="0"/>
          <w:numId w:val="23"/>
        </w:numPr>
        <w:spacing w:before="120" w:after="120" w:line="276" w:lineRule="auto"/>
        <w:jc w:val="both"/>
        <w:rPr>
          <w:rFonts w:cs="Arial"/>
          <w:sz w:val="20"/>
          <w:szCs w:val="20"/>
          <w:lang w:val="en-US"/>
        </w:rPr>
      </w:pPr>
      <w:r>
        <w:rPr>
          <w:rFonts w:cs="Arial"/>
          <w:sz w:val="20"/>
          <w:szCs w:val="20"/>
          <w:lang w:val="en-US"/>
        </w:rPr>
        <w:t>The Pacific Assurance Group</w:t>
      </w:r>
    </w:p>
    <w:p w14:paraId="35CC4524" w14:textId="3A23AC62" w:rsidR="008E1FED" w:rsidRDefault="008E1FED" w:rsidP="00EA6C4F">
      <w:pPr>
        <w:pStyle w:val="ListParagraph"/>
        <w:numPr>
          <w:ilvl w:val="0"/>
          <w:numId w:val="23"/>
        </w:numPr>
        <w:spacing w:before="120" w:after="120" w:line="276" w:lineRule="auto"/>
        <w:jc w:val="both"/>
        <w:rPr>
          <w:rFonts w:cs="Arial"/>
          <w:sz w:val="20"/>
          <w:szCs w:val="20"/>
          <w:lang w:val="en-US"/>
        </w:rPr>
      </w:pPr>
      <w:r>
        <w:rPr>
          <w:rFonts w:cs="Arial"/>
          <w:sz w:val="20"/>
          <w:szCs w:val="20"/>
          <w:lang w:val="en-US"/>
        </w:rPr>
        <w:t>Te Aka Whai Ora</w:t>
      </w:r>
    </w:p>
    <w:p w14:paraId="59FCB706" w14:textId="06DB2039" w:rsidR="008E1FED" w:rsidRPr="008E1FED" w:rsidRDefault="008E1FED" w:rsidP="00EA6C4F">
      <w:pPr>
        <w:pStyle w:val="ListParagraph"/>
        <w:numPr>
          <w:ilvl w:val="0"/>
          <w:numId w:val="23"/>
        </w:numPr>
        <w:spacing w:before="120" w:after="120" w:line="276" w:lineRule="auto"/>
        <w:jc w:val="both"/>
        <w:rPr>
          <w:rFonts w:cs="Arial"/>
          <w:sz w:val="20"/>
          <w:szCs w:val="20"/>
          <w:lang w:val="en-US"/>
        </w:rPr>
      </w:pPr>
      <w:r>
        <w:rPr>
          <w:rFonts w:cs="Arial"/>
          <w:sz w:val="20"/>
          <w:szCs w:val="20"/>
          <w:lang w:val="en-US"/>
        </w:rPr>
        <w:t>Te Whatu Ora</w:t>
      </w:r>
    </w:p>
    <w:p w14:paraId="0BFEEF43" w14:textId="0244DA2C" w:rsidR="00CB1221" w:rsidRDefault="00CB1221" w:rsidP="00EA6C4F">
      <w:pPr>
        <w:widowControl w:val="0"/>
        <w:kinsoku w:val="0"/>
        <w:overflowPunct w:val="0"/>
        <w:autoSpaceDE w:val="0"/>
        <w:autoSpaceDN w:val="0"/>
        <w:adjustRightInd w:val="0"/>
        <w:spacing w:before="120" w:after="120" w:line="276" w:lineRule="auto"/>
        <w:ind w:right="-45"/>
        <w:jc w:val="both"/>
        <w:rPr>
          <w:rFonts w:eastAsiaTheme="minorEastAsia" w:cs="Arial"/>
          <w:sz w:val="20"/>
          <w:szCs w:val="20"/>
          <w:lang w:eastAsia="en-NZ"/>
        </w:rPr>
      </w:pPr>
      <w:r>
        <w:rPr>
          <w:rFonts w:eastAsiaTheme="minorEastAsia" w:cs="Arial"/>
          <w:sz w:val="20"/>
          <w:szCs w:val="20"/>
          <w:lang w:eastAsia="en-NZ"/>
        </w:rPr>
        <w:t xml:space="preserve">Using the Rating Scale, </w:t>
      </w:r>
      <w:r w:rsidR="000551A2">
        <w:rPr>
          <w:rFonts w:eastAsiaTheme="minorEastAsia" w:cs="Arial"/>
          <w:sz w:val="20"/>
          <w:szCs w:val="20"/>
          <w:lang w:eastAsia="en-NZ"/>
        </w:rPr>
        <w:t>Full Evaluation P</w:t>
      </w:r>
      <w:r w:rsidRPr="4B1EACD5">
        <w:rPr>
          <w:rFonts w:eastAsiaTheme="minorEastAsia" w:cs="Arial"/>
          <w:sz w:val="20"/>
          <w:szCs w:val="20"/>
          <w:lang w:eastAsia="en-NZ"/>
        </w:rPr>
        <w:t>anel</w:t>
      </w:r>
      <w:r>
        <w:rPr>
          <w:rFonts w:eastAsiaTheme="minorEastAsia" w:cs="Arial"/>
          <w:sz w:val="20"/>
          <w:szCs w:val="20"/>
          <w:lang w:eastAsia="en-NZ"/>
        </w:rPr>
        <w:t xml:space="preserve"> members</w:t>
      </w:r>
      <w:r w:rsidRPr="4B1EACD5">
        <w:rPr>
          <w:rFonts w:eastAsiaTheme="minorEastAsia" w:cs="Arial"/>
          <w:sz w:val="20"/>
          <w:szCs w:val="20"/>
          <w:lang w:eastAsia="en-NZ"/>
        </w:rPr>
        <w:t xml:space="preserve"> will </w:t>
      </w:r>
      <w:r>
        <w:rPr>
          <w:rFonts w:eastAsiaTheme="minorEastAsia" w:cs="Arial"/>
          <w:sz w:val="20"/>
          <w:szCs w:val="20"/>
          <w:lang w:eastAsia="en-NZ"/>
        </w:rPr>
        <w:t xml:space="preserve">individually </w:t>
      </w:r>
      <w:r w:rsidRPr="4B1EACD5">
        <w:rPr>
          <w:rFonts w:eastAsiaTheme="minorEastAsia" w:cs="Arial"/>
          <w:sz w:val="20"/>
          <w:szCs w:val="20"/>
          <w:lang w:eastAsia="en-NZ"/>
        </w:rPr>
        <w:t>evalua</w:t>
      </w:r>
      <w:r>
        <w:rPr>
          <w:rFonts w:eastAsiaTheme="minorEastAsia" w:cs="Arial"/>
          <w:sz w:val="20"/>
          <w:szCs w:val="20"/>
          <w:lang w:eastAsia="en-NZ"/>
        </w:rPr>
        <w:t>te each application</w:t>
      </w:r>
      <w:r w:rsidRPr="00A07D90">
        <w:rPr>
          <w:rFonts w:eastAsiaTheme="minorEastAsia" w:cs="Arial"/>
          <w:sz w:val="20"/>
          <w:szCs w:val="20"/>
          <w:lang w:eastAsia="en-NZ"/>
        </w:rPr>
        <w:t xml:space="preserve"> </w:t>
      </w:r>
      <w:r w:rsidRPr="00FE2ACE">
        <w:rPr>
          <w:rFonts w:eastAsiaTheme="minorEastAsia" w:cs="Arial"/>
          <w:sz w:val="20"/>
          <w:szCs w:val="20"/>
          <w:lang w:eastAsia="en-NZ"/>
        </w:rPr>
        <w:t>on its own merit</w:t>
      </w:r>
      <w:r w:rsidR="00DE6BCB">
        <w:rPr>
          <w:rFonts w:eastAsiaTheme="minorEastAsia" w:cs="Arial"/>
          <w:sz w:val="20"/>
          <w:szCs w:val="20"/>
          <w:lang w:eastAsia="en-NZ"/>
        </w:rPr>
        <w:t xml:space="preserve"> against the weighted criteria</w:t>
      </w:r>
      <w:r w:rsidRPr="00FE2ACE">
        <w:rPr>
          <w:rFonts w:eastAsiaTheme="minorEastAsia" w:cs="Arial"/>
          <w:sz w:val="20"/>
          <w:szCs w:val="20"/>
          <w:lang w:eastAsia="en-NZ"/>
        </w:rPr>
        <w:t xml:space="preserve"> and not in comparison to another submission.</w:t>
      </w:r>
      <w:r w:rsidRPr="4B1EACD5">
        <w:rPr>
          <w:rFonts w:eastAsiaTheme="minorEastAsia" w:cs="Arial"/>
          <w:sz w:val="20"/>
          <w:szCs w:val="20"/>
          <w:lang w:eastAsia="en-NZ"/>
        </w:rPr>
        <w:t xml:space="preserve"> </w:t>
      </w:r>
      <w:r>
        <w:rPr>
          <w:rFonts w:eastAsiaTheme="minorEastAsia" w:cs="Arial"/>
          <w:sz w:val="20"/>
          <w:szCs w:val="20"/>
          <w:lang w:eastAsia="en-NZ"/>
        </w:rPr>
        <w:t xml:space="preserve"> They will score application responses </w:t>
      </w:r>
      <w:r w:rsidRPr="4B1EACD5">
        <w:rPr>
          <w:rFonts w:eastAsiaTheme="minorEastAsia" w:cs="Arial"/>
          <w:sz w:val="20"/>
          <w:szCs w:val="20"/>
          <w:lang w:eastAsia="en-NZ"/>
        </w:rPr>
        <w:t>from 0 –</w:t>
      </w:r>
      <w:r>
        <w:rPr>
          <w:rFonts w:eastAsiaTheme="minorEastAsia" w:cs="Arial"/>
          <w:sz w:val="20"/>
          <w:szCs w:val="20"/>
          <w:lang w:eastAsia="en-NZ"/>
        </w:rPr>
        <w:t xml:space="preserve"> </w:t>
      </w:r>
      <w:r w:rsidRPr="4B1EACD5">
        <w:rPr>
          <w:rFonts w:eastAsiaTheme="minorEastAsia" w:cs="Arial"/>
          <w:sz w:val="20"/>
          <w:szCs w:val="20"/>
          <w:lang w:eastAsia="en-NZ"/>
        </w:rPr>
        <w:t xml:space="preserve">5 </w:t>
      </w:r>
      <w:r>
        <w:rPr>
          <w:rFonts w:eastAsiaTheme="minorEastAsia" w:cs="Arial"/>
          <w:sz w:val="20"/>
          <w:szCs w:val="20"/>
          <w:lang w:eastAsia="en-NZ"/>
        </w:rPr>
        <w:t>based on the criteria requirements.  Once all panel members have individually scored the applications they will meet to</w:t>
      </w:r>
      <w:r w:rsidRPr="4B1EACD5">
        <w:rPr>
          <w:rFonts w:eastAsiaTheme="minorEastAsia" w:cs="Arial"/>
          <w:spacing w:val="-1"/>
          <w:sz w:val="20"/>
          <w:szCs w:val="20"/>
          <w:lang w:eastAsia="en-NZ"/>
        </w:rPr>
        <w:t xml:space="preserve"> </w:t>
      </w:r>
      <w:r w:rsidRPr="4B1EACD5">
        <w:rPr>
          <w:rFonts w:eastAsiaTheme="minorEastAsia" w:cs="Arial"/>
          <w:sz w:val="20"/>
          <w:szCs w:val="20"/>
          <w:lang w:eastAsia="en-NZ"/>
        </w:rPr>
        <w:t>discuss</w:t>
      </w:r>
      <w:r>
        <w:rPr>
          <w:rFonts w:eastAsiaTheme="minorEastAsia" w:cs="Arial"/>
          <w:sz w:val="20"/>
          <w:szCs w:val="20"/>
          <w:lang w:eastAsia="en-NZ"/>
        </w:rPr>
        <w:t xml:space="preserve"> the outcomes </w:t>
      </w:r>
      <w:r w:rsidRPr="00067099">
        <w:rPr>
          <w:rFonts w:eastAsiaTheme="minorEastAsia" w:cs="Arial"/>
          <w:sz w:val="20"/>
          <w:szCs w:val="20"/>
          <w:lang w:eastAsia="en-NZ"/>
        </w:rPr>
        <w:t>and seek to arrive at a consensus view</w:t>
      </w:r>
      <w:r>
        <w:rPr>
          <w:rFonts w:eastAsiaTheme="minorEastAsia" w:cs="Arial"/>
          <w:sz w:val="20"/>
          <w:szCs w:val="20"/>
          <w:lang w:eastAsia="en-NZ"/>
        </w:rPr>
        <w:t xml:space="preserve"> on which applications will be approved to receive funding.</w:t>
      </w:r>
      <w:r w:rsidR="00DE6BCB">
        <w:rPr>
          <w:rFonts w:eastAsiaTheme="minorEastAsia" w:cs="Arial"/>
          <w:sz w:val="20"/>
          <w:szCs w:val="20"/>
          <w:lang w:eastAsia="en-NZ"/>
        </w:rPr>
        <w:t xml:space="preserve"> Funding requested is not an evaluation criteria but will be considered by the Panel when determining overall value for money.</w:t>
      </w:r>
    </w:p>
    <w:p w14:paraId="5524F841" w14:textId="02FF13EF" w:rsidR="002413A9" w:rsidRDefault="00DE6BCB" w:rsidP="00EA6C4F">
      <w:pPr>
        <w:pStyle w:val="paragraph"/>
        <w:spacing w:line="276" w:lineRule="auto"/>
        <w:jc w:val="both"/>
      </w:pPr>
      <w:r w:rsidRPr="00274E30">
        <w:rPr>
          <w:rFonts w:ascii="Arial" w:eastAsiaTheme="minorEastAsia" w:hAnsi="Arial" w:cs="Arial"/>
          <w:sz w:val="20"/>
          <w:szCs w:val="20"/>
        </w:rPr>
        <w:t>Final scores will assist</w:t>
      </w:r>
      <w:r>
        <w:rPr>
          <w:rFonts w:ascii="Arial" w:eastAsiaTheme="minorEastAsia" w:hAnsi="Arial" w:cs="Arial"/>
          <w:sz w:val="20"/>
          <w:szCs w:val="20"/>
        </w:rPr>
        <w:t xml:space="preserve"> the Panel</w:t>
      </w:r>
      <w:r w:rsidRPr="00274E30">
        <w:rPr>
          <w:rFonts w:ascii="Arial" w:eastAsiaTheme="minorEastAsia" w:hAnsi="Arial" w:cs="Arial"/>
          <w:sz w:val="20"/>
          <w:szCs w:val="20"/>
        </w:rPr>
        <w:t xml:space="preserve"> in deciding the </w:t>
      </w:r>
      <w:r>
        <w:rPr>
          <w:rFonts w:ascii="Arial" w:eastAsiaTheme="minorEastAsia" w:hAnsi="Arial" w:cs="Arial"/>
          <w:sz w:val="20"/>
          <w:szCs w:val="20"/>
        </w:rPr>
        <w:t>s</w:t>
      </w:r>
      <w:r w:rsidRPr="00274E30">
        <w:rPr>
          <w:rFonts w:ascii="Arial" w:eastAsiaTheme="minorEastAsia" w:hAnsi="Arial" w:cs="Arial"/>
          <w:sz w:val="20"/>
          <w:szCs w:val="20"/>
        </w:rPr>
        <w:t xml:space="preserve">uccessful </w:t>
      </w:r>
      <w:r>
        <w:rPr>
          <w:rFonts w:ascii="Arial" w:eastAsiaTheme="minorEastAsia" w:hAnsi="Arial" w:cs="Arial"/>
          <w:sz w:val="20"/>
          <w:szCs w:val="20"/>
        </w:rPr>
        <w:t>applications</w:t>
      </w:r>
      <w:r w:rsidRPr="00274E30">
        <w:rPr>
          <w:rFonts w:ascii="Arial" w:eastAsiaTheme="minorEastAsia" w:hAnsi="Arial" w:cs="Arial"/>
          <w:sz w:val="20"/>
          <w:szCs w:val="20"/>
        </w:rPr>
        <w:t xml:space="preserve">, but ultimately the decision will be based on which </w:t>
      </w:r>
      <w:r>
        <w:rPr>
          <w:rFonts w:ascii="Arial" w:eastAsiaTheme="minorEastAsia" w:hAnsi="Arial" w:cs="Arial"/>
          <w:sz w:val="20"/>
          <w:szCs w:val="20"/>
        </w:rPr>
        <w:t>initiatives</w:t>
      </w:r>
      <w:r w:rsidRPr="00274E30">
        <w:rPr>
          <w:rFonts w:ascii="Arial" w:eastAsiaTheme="minorEastAsia" w:hAnsi="Arial" w:cs="Arial"/>
          <w:sz w:val="20"/>
          <w:szCs w:val="20"/>
        </w:rPr>
        <w:t xml:space="preserve"> </w:t>
      </w:r>
      <w:r>
        <w:rPr>
          <w:rFonts w:ascii="Arial" w:eastAsiaTheme="minorEastAsia" w:hAnsi="Arial" w:cs="Arial"/>
          <w:sz w:val="20"/>
          <w:szCs w:val="20"/>
        </w:rPr>
        <w:t>the panel</w:t>
      </w:r>
      <w:r w:rsidRPr="00274E30">
        <w:rPr>
          <w:rFonts w:ascii="Arial" w:eastAsiaTheme="minorEastAsia" w:hAnsi="Arial" w:cs="Arial"/>
          <w:sz w:val="20"/>
          <w:szCs w:val="20"/>
        </w:rPr>
        <w:t xml:space="preserve"> consider will provide the best overall public value</w:t>
      </w:r>
      <w:r>
        <w:rPr>
          <w:rFonts w:ascii="Arial" w:eastAsiaTheme="minorEastAsia" w:hAnsi="Arial" w:cs="Arial"/>
          <w:sz w:val="20"/>
          <w:szCs w:val="20"/>
        </w:rPr>
        <w:t xml:space="preserve"> </w:t>
      </w:r>
      <w:r w:rsidRPr="00031978">
        <w:rPr>
          <w:rFonts w:ascii="Arial" w:hAnsi="Arial" w:cs="Arial"/>
          <w:sz w:val="20"/>
          <w:szCs w:val="20"/>
        </w:rPr>
        <w:t>and this will include consideration of overall geographic coverage by all</w:t>
      </w:r>
      <w:r>
        <w:rPr>
          <w:rFonts w:ascii="Arial" w:hAnsi="Arial" w:cs="Arial"/>
          <w:sz w:val="20"/>
          <w:szCs w:val="20"/>
        </w:rPr>
        <w:t xml:space="preserve"> recommended</w:t>
      </w:r>
      <w:r w:rsidRPr="00031978">
        <w:rPr>
          <w:rFonts w:ascii="Arial" w:hAnsi="Arial" w:cs="Arial"/>
          <w:sz w:val="20"/>
          <w:szCs w:val="20"/>
        </w:rPr>
        <w:t xml:space="preserve"> initiatives combined</w:t>
      </w:r>
      <w:r w:rsidRPr="00031978">
        <w:rPr>
          <w:rFonts w:ascii="Arial" w:eastAsiaTheme="minorEastAsia" w:hAnsi="Arial" w:cs="Arial"/>
          <w:sz w:val="20"/>
          <w:szCs w:val="20"/>
        </w:rPr>
        <w:t>.  </w:t>
      </w:r>
    </w:p>
    <w:sectPr w:rsidR="002413A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91A2" w14:textId="77777777" w:rsidR="00113A21" w:rsidRDefault="00113A21" w:rsidP="003532F7">
      <w:pPr>
        <w:spacing w:after="0" w:line="240" w:lineRule="auto"/>
      </w:pPr>
      <w:r>
        <w:separator/>
      </w:r>
    </w:p>
  </w:endnote>
  <w:endnote w:type="continuationSeparator" w:id="0">
    <w:p w14:paraId="1DD9FB73" w14:textId="77777777" w:rsidR="00113A21" w:rsidRDefault="00113A21" w:rsidP="0035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B9E1" w14:textId="77777777" w:rsidR="003532F7" w:rsidRDefault="00353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D7C5" w14:textId="77777777" w:rsidR="003532F7" w:rsidRDefault="00353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4266" w14:textId="77777777" w:rsidR="003532F7" w:rsidRDefault="00353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FA5B" w14:textId="77777777" w:rsidR="00113A21" w:rsidRDefault="00113A21" w:rsidP="003532F7">
      <w:pPr>
        <w:spacing w:after="0" w:line="240" w:lineRule="auto"/>
      </w:pPr>
      <w:r>
        <w:separator/>
      </w:r>
    </w:p>
  </w:footnote>
  <w:footnote w:type="continuationSeparator" w:id="0">
    <w:p w14:paraId="7A620AEF" w14:textId="77777777" w:rsidR="00113A21" w:rsidRDefault="00113A21" w:rsidP="00353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B32E" w14:textId="77777777" w:rsidR="003532F7" w:rsidRDefault="00353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48DD" w14:textId="77777777" w:rsidR="003532F7" w:rsidRDefault="00353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A083" w14:textId="77777777" w:rsidR="003532F7" w:rsidRDefault="00353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2DB"/>
    <w:multiLevelType w:val="hybridMultilevel"/>
    <w:tmpl w:val="7C22A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355A0C"/>
    <w:multiLevelType w:val="multilevel"/>
    <w:tmpl w:val="7E225046"/>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2" w15:restartNumberingAfterBreak="0">
    <w:nsid w:val="1C26027E"/>
    <w:multiLevelType w:val="multilevel"/>
    <w:tmpl w:val="F67C9CF0"/>
    <w:lvl w:ilvl="0">
      <w:start w:val="1"/>
      <w:numFmt w:val="decimal"/>
      <w:pStyle w:val="Heading1Numbered"/>
      <w:lvlText w:val="%1."/>
      <w:lvlJc w:val="left"/>
      <w:pPr>
        <w:ind w:left="709" w:hanging="709"/>
      </w:pPr>
      <w:rPr>
        <w:rFonts w:hint="default"/>
      </w:rPr>
    </w:lvl>
    <w:lvl w:ilvl="1">
      <w:start w:val="1"/>
      <w:numFmt w:val="decimal"/>
      <w:pStyle w:val="Heading2Numbered"/>
      <w:lvlText w:val="%1.%2"/>
      <w:lvlJc w:val="left"/>
      <w:pPr>
        <w:ind w:left="709" w:hanging="709"/>
      </w:pPr>
      <w:rPr>
        <w:rFonts w:hint="default"/>
      </w:rPr>
    </w:lvl>
    <w:lvl w:ilvl="2">
      <w:start w:val="1"/>
      <w:numFmt w:val="decimal"/>
      <w:pStyle w:val="Heading3Numbered"/>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3" w15:restartNumberingAfterBreak="0">
    <w:nsid w:val="22363935"/>
    <w:multiLevelType w:val="multilevel"/>
    <w:tmpl w:val="6CBCC838"/>
    <w:lvl w:ilvl="0">
      <w:start w:val="1"/>
      <w:numFmt w:val="bullet"/>
      <w:pStyle w:val="Bullet1"/>
      <w:lvlText w:val=""/>
      <w:lvlJc w:val="left"/>
      <w:pPr>
        <w:ind w:left="1134" w:hanging="567"/>
      </w:pPr>
      <w:rPr>
        <w:rFonts w:ascii="Symbol" w:hAnsi="Symbol" w:hint="default"/>
        <w:b w:val="0"/>
        <w:i w:val="0"/>
      </w:rPr>
    </w:lvl>
    <w:lvl w:ilvl="1">
      <w:start w:val="1"/>
      <w:numFmt w:val="bullet"/>
      <w:pStyle w:val="Bullet2"/>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5E63281"/>
    <w:multiLevelType w:val="multilevel"/>
    <w:tmpl w:val="383EF368"/>
    <w:lvl w:ilvl="0">
      <w:start w:val="1"/>
      <w:numFmt w:val="decimal"/>
      <w:pStyle w:val="123"/>
      <w:lvlText w:val="%1."/>
      <w:lvlJc w:val="left"/>
      <w:pPr>
        <w:ind w:left="1134" w:hanging="567"/>
      </w:pPr>
      <w:rPr>
        <w:rFonts w:hint="default"/>
      </w:rPr>
    </w:lvl>
    <w:lvl w:ilvl="1">
      <w:numFmt w:val="none"/>
      <w:lvlRestart w:val="0"/>
      <w:lvlText w:val=""/>
      <w:lvlJc w:val="left"/>
      <w:pPr>
        <w:ind w:left="0" w:firstLine="0"/>
      </w:pPr>
      <w:rPr>
        <w:rFonts w:hint="default"/>
      </w:rPr>
    </w:lvl>
    <w:lvl w:ilvl="2">
      <w:numFmt w:val="none"/>
      <w:lvlRestart w:val="0"/>
      <w:lvlText w:val=""/>
      <w:lvlJc w:val="left"/>
      <w:pPr>
        <w:tabs>
          <w:tab w:val="num" w:pos="0"/>
        </w:tabs>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ind w:left="0" w:firstLine="0"/>
      </w:pPr>
      <w:rPr>
        <w:rFonts w:hint="default"/>
      </w:rPr>
    </w:lvl>
  </w:abstractNum>
  <w:abstractNum w:abstractNumId="5" w15:restartNumberingAfterBreak="0">
    <w:nsid w:val="2B8E1A57"/>
    <w:multiLevelType w:val="hybridMultilevel"/>
    <w:tmpl w:val="6ED686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E7E5F20"/>
    <w:multiLevelType w:val="hybridMultilevel"/>
    <w:tmpl w:val="14FEB0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AB34E0E"/>
    <w:multiLevelType w:val="hybridMultilevel"/>
    <w:tmpl w:val="3BE66E42"/>
    <w:lvl w:ilvl="0" w:tplc="4364A166">
      <w:start w:val="1"/>
      <w:numFmt w:val="bullet"/>
      <w:lvlText w:val=""/>
      <w:lvlJc w:val="left"/>
      <w:pPr>
        <w:ind w:left="827" w:hanging="360"/>
      </w:pPr>
      <w:rPr>
        <w:rFonts w:ascii="Symbol" w:hAnsi="Symbol" w:hint="default"/>
      </w:rPr>
    </w:lvl>
    <w:lvl w:ilvl="1" w:tplc="34A62976">
      <w:start w:val="1"/>
      <w:numFmt w:val="bullet"/>
      <w:lvlText w:val="o"/>
      <w:lvlJc w:val="left"/>
      <w:pPr>
        <w:ind w:left="1440" w:hanging="360"/>
      </w:pPr>
      <w:rPr>
        <w:rFonts w:ascii="Courier New" w:hAnsi="Courier New" w:hint="default"/>
      </w:rPr>
    </w:lvl>
    <w:lvl w:ilvl="2" w:tplc="FA76151C">
      <w:start w:val="1"/>
      <w:numFmt w:val="bullet"/>
      <w:lvlText w:val=""/>
      <w:lvlJc w:val="left"/>
      <w:pPr>
        <w:ind w:left="2160" w:hanging="360"/>
      </w:pPr>
      <w:rPr>
        <w:rFonts w:ascii="Wingdings" w:hAnsi="Wingdings" w:hint="default"/>
      </w:rPr>
    </w:lvl>
    <w:lvl w:ilvl="3" w:tplc="42345822">
      <w:start w:val="1"/>
      <w:numFmt w:val="bullet"/>
      <w:lvlText w:val=""/>
      <w:lvlJc w:val="left"/>
      <w:pPr>
        <w:ind w:left="2880" w:hanging="360"/>
      </w:pPr>
      <w:rPr>
        <w:rFonts w:ascii="Symbol" w:hAnsi="Symbol" w:hint="default"/>
      </w:rPr>
    </w:lvl>
    <w:lvl w:ilvl="4" w:tplc="A1B88894">
      <w:start w:val="1"/>
      <w:numFmt w:val="bullet"/>
      <w:lvlText w:val="o"/>
      <w:lvlJc w:val="left"/>
      <w:pPr>
        <w:ind w:left="3600" w:hanging="360"/>
      </w:pPr>
      <w:rPr>
        <w:rFonts w:ascii="Courier New" w:hAnsi="Courier New" w:hint="default"/>
      </w:rPr>
    </w:lvl>
    <w:lvl w:ilvl="5" w:tplc="08366500">
      <w:start w:val="1"/>
      <w:numFmt w:val="bullet"/>
      <w:lvlText w:val=""/>
      <w:lvlJc w:val="left"/>
      <w:pPr>
        <w:ind w:left="4320" w:hanging="360"/>
      </w:pPr>
      <w:rPr>
        <w:rFonts w:ascii="Wingdings" w:hAnsi="Wingdings" w:hint="default"/>
      </w:rPr>
    </w:lvl>
    <w:lvl w:ilvl="6" w:tplc="0A801750">
      <w:start w:val="1"/>
      <w:numFmt w:val="bullet"/>
      <w:lvlText w:val=""/>
      <w:lvlJc w:val="left"/>
      <w:pPr>
        <w:ind w:left="5040" w:hanging="360"/>
      </w:pPr>
      <w:rPr>
        <w:rFonts w:ascii="Symbol" w:hAnsi="Symbol" w:hint="default"/>
      </w:rPr>
    </w:lvl>
    <w:lvl w:ilvl="7" w:tplc="DB088648">
      <w:start w:val="1"/>
      <w:numFmt w:val="bullet"/>
      <w:lvlText w:val="o"/>
      <w:lvlJc w:val="left"/>
      <w:pPr>
        <w:ind w:left="5760" w:hanging="360"/>
      </w:pPr>
      <w:rPr>
        <w:rFonts w:ascii="Courier New" w:hAnsi="Courier New" w:hint="default"/>
      </w:rPr>
    </w:lvl>
    <w:lvl w:ilvl="8" w:tplc="15641228">
      <w:start w:val="1"/>
      <w:numFmt w:val="bullet"/>
      <w:lvlText w:val=""/>
      <w:lvlJc w:val="left"/>
      <w:pPr>
        <w:ind w:left="6480" w:hanging="360"/>
      </w:pPr>
      <w:rPr>
        <w:rFonts w:ascii="Wingdings" w:hAnsi="Wingdings" w:hint="default"/>
      </w:rPr>
    </w:lvl>
  </w:abstractNum>
  <w:abstractNum w:abstractNumId="8" w15:restartNumberingAfterBreak="0">
    <w:nsid w:val="4D4C2B9F"/>
    <w:multiLevelType w:val="hybridMultilevel"/>
    <w:tmpl w:val="7EB0A3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5EF01E4"/>
    <w:multiLevelType w:val="hybridMultilevel"/>
    <w:tmpl w:val="6A7E0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A6A7957"/>
    <w:multiLevelType w:val="hybridMultilevel"/>
    <w:tmpl w:val="9070C3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69993633">
    <w:abstractNumId w:val="3"/>
  </w:num>
  <w:num w:numId="2" w16cid:durableId="1718386663">
    <w:abstractNumId w:val="3"/>
  </w:num>
  <w:num w:numId="3" w16cid:durableId="497500733">
    <w:abstractNumId w:val="2"/>
  </w:num>
  <w:num w:numId="4" w16cid:durableId="1326008920">
    <w:abstractNumId w:val="2"/>
  </w:num>
  <w:num w:numId="5" w16cid:durableId="1415736837">
    <w:abstractNumId w:val="2"/>
  </w:num>
  <w:num w:numId="6" w16cid:durableId="2142921014">
    <w:abstractNumId w:val="4"/>
  </w:num>
  <w:num w:numId="7" w16cid:durableId="470952019">
    <w:abstractNumId w:val="1"/>
  </w:num>
  <w:num w:numId="8" w16cid:durableId="1043863645">
    <w:abstractNumId w:val="1"/>
  </w:num>
  <w:num w:numId="9" w16cid:durableId="1667630310">
    <w:abstractNumId w:val="3"/>
  </w:num>
  <w:num w:numId="10" w16cid:durableId="326788750">
    <w:abstractNumId w:val="3"/>
  </w:num>
  <w:num w:numId="11" w16cid:durableId="669065749">
    <w:abstractNumId w:val="2"/>
  </w:num>
  <w:num w:numId="12" w16cid:durableId="1061639768">
    <w:abstractNumId w:val="2"/>
  </w:num>
  <w:num w:numId="13" w16cid:durableId="891843214">
    <w:abstractNumId w:val="2"/>
  </w:num>
  <w:num w:numId="14" w16cid:durableId="1937712609">
    <w:abstractNumId w:val="4"/>
  </w:num>
  <w:num w:numId="15" w16cid:durableId="1765422087">
    <w:abstractNumId w:val="1"/>
  </w:num>
  <w:num w:numId="16" w16cid:durableId="782385331">
    <w:abstractNumId w:val="1"/>
  </w:num>
  <w:num w:numId="17" w16cid:durableId="1243368056">
    <w:abstractNumId w:val="8"/>
  </w:num>
  <w:num w:numId="18" w16cid:durableId="1218857958">
    <w:abstractNumId w:val="7"/>
  </w:num>
  <w:num w:numId="19" w16cid:durableId="1856531488">
    <w:abstractNumId w:val="5"/>
  </w:num>
  <w:num w:numId="20" w16cid:durableId="1186098377">
    <w:abstractNumId w:val="10"/>
  </w:num>
  <w:num w:numId="21" w16cid:durableId="465779029">
    <w:abstractNumId w:val="0"/>
  </w:num>
  <w:num w:numId="22" w16cid:durableId="763498014">
    <w:abstractNumId w:val="6"/>
  </w:num>
  <w:num w:numId="23" w16cid:durableId="247162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21"/>
    <w:rsid w:val="000551A2"/>
    <w:rsid w:val="00111A86"/>
    <w:rsid w:val="00113A21"/>
    <w:rsid w:val="001D3BEA"/>
    <w:rsid w:val="002413A9"/>
    <w:rsid w:val="00336C56"/>
    <w:rsid w:val="003532F7"/>
    <w:rsid w:val="003D0E56"/>
    <w:rsid w:val="004B547F"/>
    <w:rsid w:val="005132A4"/>
    <w:rsid w:val="00660044"/>
    <w:rsid w:val="007C2783"/>
    <w:rsid w:val="008E1FED"/>
    <w:rsid w:val="008F160A"/>
    <w:rsid w:val="009C05AC"/>
    <w:rsid w:val="00BE374E"/>
    <w:rsid w:val="00C3700A"/>
    <w:rsid w:val="00C722E5"/>
    <w:rsid w:val="00CB1221"/>
    <w:rsid w:val="00CB148F"/>
    <w:rsid w:val="00DD101B"/>
    <w:rsid w:val="00DE6BCB"/>
    <w:rsid w:val="00E57296"/>
    <w:rsid w:val="00EA6C4F"/>
    <w:rsid w:val="00FA26D4"/>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0720"/>
  <w15:chartTrackingRefBased/>
  <w15:docId w15:val="{1181D4E4-2919-420B-A010-4D2F74A5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FA26D4"/>
    <w:pPr>
      <w:spacing w:after="240" w:line="320" w:lineRule="atLeast"/>
    </w:pPr>
    <w:rPr>
      <w:rFonts w:ascii="Arial" w:hAnsi="Arial"/>
    </w:rPr>
  </w:style>
  <w:style w:type="paragraph" w:styleId="Heading1">
    <w:name w:val="heading 1"/>
    <w:basedOn w:val="BodyText"/>
    <w:next w:val="BodyText"/>
    <w:link w:val="Heading1Char"/>
    <w:uiPriority w:val="8"/>
    <w:qFormat/>
    <w:rsid w:val="00FA26D4"/>
    <w:pPr>
      <w:keepNext/>
      <w:keepLines/>
      <w:pageBreakBefore/>
      <w:pBdr>
        <w:bottom w:val="single" w:sz="8" w:space="6" w:color="auto"/>
      </w:pBdr>
      <w:spacing w:before="360"/>
      <w:outlineLvl w:val="0"/>
    </w:pPr>
    <w:rPr>
      <w:rFonts w:eastAsiaTheme="majorEastAsia" w:cstheme="majorBidi"/>
      <w:bCs/>
      <w:caps/>
      <w:sz w:val="32"/>
      <w:szCs w:val="28"/>
    </w:rPr>
  </w:style>
  <w:style w:type="paragraph" w:styleId="Heading2">
    <w:name w:val="heading 2"/>
    <w:basedOn w:val="BodyText"/>
    <w:next w:val="BodyText"/>
    <w:link w:val="Heading2Char"/>
    <w:uiPriority w:val="8"/>
    <w:qFormat/>
    <w:rsid w:val="00FA26D4"/>
    <w:pPr>
      <w:keepNext/>
      <w:keepLines/>
      <w:spacing w:before="360"/>
      <w:outlineLvl w:val="1"/>
    </w:pPr>
    <w:rPr>
      <w:rFonts w:eastAsiaTheme="majorEastAsia" w:cstheme="majorBidi"/>
      <w:bCs/>
      <w:caps/>
      <w:sz w:val="28"/>
      <w:szCs w:val="26"/>
    </w:rPr>
  </w:style>
  <w:style w:type="paragraph" w:styleId="Heading3">
    <w:name w:val="heading 3"/>
    <w:basedOn w:val="BodyText"/>
    <w:next w:val="BodyText"/>
    <w:link w:val="Heading3Char"/>
    <w:uiPriority w:val="8"/>
    <w:qFormat/>
    <w:rsid w:val="00FA26D4"/>
    <w:pPr>
      <w:keepNext/>
      <w:keepLines/>
      <w:spacing w:before="240" w:after="80"/>
      <w:outlineLvl w:val="2"/>
    </w:pPr>
    <w:rPr>
      <w:rFonts w:eastAsiaTheme="majorEastAsia" w:cstheme="majorBidi"/>
      <w:b/>
      <w:bCs/>
      <w:sz w:val="26"/>
    </w:rPr>
  </w:style>
  <w:style w:type="paragraph" w:styleId="Heading4">
    <w:name w:val="heading 4"/>
    <w:basedOn w:val="Heading7"/>
    <w:next w:val="BodyText"/>
    <w:link w:val="Heading4Char"/>
    <w:uiPriority w:val="9"/>
    <w:qFormat/>
    <w:rsid w:val="00FA26D4"/>
    <w:pPr>
      <w:outlineLvl w:val="3"/>
    </w:pPr>
    <w:rPr>
      <w:b w:val="0"/>
    </w:rPr>
  </w:style>
  <w:style w:type="paragraph" w:styleId="Heading5">
    <w:name w:val="heading 5"/>
    <w:basedOn w:val="Heading8"/>
    <w:next w:val="Normal"/>
    <w:link w:val="Heading5Char"/>
    <w:uiPriority w:val="9"/>
    <w:qFormat/>
    <w:rsid w:val="00FA26D4"/>
    <w:pPr>
      <w:outlineLvl w:val="4"/>
    </w:pPr>
    <w:rPr>
      <w:i w:val="0"/>
    </w:rPr>
  </w:style>
  <w:style w:type="paragraph" w:styleId="Heading7">
    <w:name w:val="heading 7"/>
    <w:basedOn w:val="BodyText"/>
    <w:next w:val="BodyText"/>
    <w:link w:val="Heading7Char"/>
    <w:uiPriority w:val="9"/>
    <w:semiHidden/>
    <w:qFormat/>
    <w:rsid w:val="00FA26D4"/>
    <w:pPr>
      <w:keepNext/>
      <w:keepLines/>
      <w:spacing w:before="240" w:after="80"/>
      <w:outlineLvl w:val="6"/>
    </w:pPr>
    <w:rPr>
      <w:rFonts w:eastAsiaTheme="majorEastAsia" w:cstheme="majorBidi"/>
      <w:b/>
      <w:i/>
      <w:iCs/>
      <w:sz w:val="24"/>
    </w:rPr>
  </w:style>
  <w:style w:type="paragraph" w:styleId="Heading8">
    <w:name w:val="heading 8"/>
    <w:basedOn w:val="BodyText"/>
    <w:next w:val="BodyText"/>
    <w:link w:val="Heading8Char"/>
    <w:uiPriority w:val="9"/>
    <w:semiHidden/>
    <w:qFormat/>
    <w:rsid w:val="00FA26D4"/>
    <w:pPr>
      <w:keepNext/>
      <w:keepLines/>
      <w:spacing w:before="240" w:after="80"/>
      <w:outlineLvl w:val="7"/>
    </w:pPr>
    <w:rPr>
      <w:rFonts w:eastAsiaTheme="majorEastAsia" w:cstheme="majorBidi"/>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BodyText"/>
    <w:uiPriority w:val="12"/>
    <w:qFormat/>
    <w:rsid w:val="00FA26D4"/>
    <w:pPr>
      <w:numPr>
        <w:numId w:val="10"/>
      </w:numPr>
      <w:spacing w:after="120" w:line="240" w:lineRule="atLeast"/>
    </w:pPr>
  </w:style>
  <w:style w:type="paragraph" w:styleId="BodyText">
    <w:name w:val="Body Text"/>
    <w:basedOn w:val="Normal"/>
    <w:link w:val="BodyTextChar"/>
    <w:qFormat/>
    <w:rsid w:val="00FA26D4"/>
  </w:style>
  <w:style w:type="character" w:customStyle="1" w:styleId="BodyTextChar">
    <w:name w:val="Body Text Char"/>
    <w:basedOn w:val="DefaultParagraphFont"/>
    <w:link w:val="BodyText"/>
    <w:rsid w:val="00FA26D4"/>
    <w:rPr>
      <w:rFonts w:ascii="Arial" w:hAnsi="Arial"/>
    </w:rPr>
  </w:style>
  <w:style w:type="paragraph" w:customStyle="1" w:styleId="Bullet2">
    <w:name w:val="Bullet 2"/>
    <w:basedOn w:val="BodyText"/>
    <w:uiPriority w:val="13"/>
    <w:qFormat/>
    <w:rsid w:val="00FA26D4"/>
    <w:pPr>
      <w:numPr>
        <w:ilvl w:val="1"/>
        <w:numId w:val="10"/>
      </w:numPr>
      <w:spacing w:after="120" w:line="240" w:lineRule="atLeast"/>
    </w:pPr>
  </w:style>
  <w:style w:type="paragraph" w:customStyle="1" w:styleId="Heading1Numbered">
    <w:name w:val="Heading 1 (Numbered)"/>
    <w:basedOn w:val="Heading1"/>
    <w:next w:val="BodyText"/>
    <w:uiPriority w:val="9"/>
    <w:qFormat/>
    <w:rsid w:val="00FA26D4"/>
    <w:pPr>
      <w:numPr>
        <w:numId w:val="13"/>
      </w:numPr>
    </w:pPr>
  </w:style>
  <w:style w:type="character" w:customStyle="1" w:styleId="Heading1Char">
    <w:name w:val="Heading 1 Char"/>
    <w:basedOn w:val="DefaultParagraphFont"/>
    <w:link w:val="Heading1"/>
    <w:uiPriority w:val="8"/>
    <w:rsid w:val="00FA26D4"/>
    <w:rPr>
      <w:rFonts w:ascii="Arial" w:eastAsiaTheme="majorEastAsia" w:hAnsi="Arial" w:cstheme="majorBidi"/>
      <w:bCs/>
      <w:caps/>
      <w:sz w:val="32"/>
      <w:szCs w:val="28"/>
    </w:rPr>
  </w:style>
  <w:style w:type="paragraph" w:customStyle="1" w:styleId="Heading2Numbered">
    <w:name w:val="Heading 2 (Numbered)"/>
    <w:basedOn w:val="Heading2"/>
    <w:next w:val="BodyText"/>
    <w:uiPriority w:val="9"/>
    <w:qFormat/>
    <w:rsid w:val="00FA26D4"/>
    <w:pPr>
      <w:numPr>
        <w:ilvl w:val="1"/>
        <w:numId w:val="13"/>
      </w:numPr>
    </w:pPr>
  </w:style>
  <w:style w:type="character" w:customStyle="1" w:styleId="Heading2Char">
    <w:name w:val="Heading 2 Char"/>
    <w:basedOn w:val="DefaultParagraphFont"/>
    <w:link w:val="Heading2"/>
    <w:uiPriority w:val="8"/>
    <w:rsid w:val="00FA26D4"/>
    <w:rPr>
      <w:rFonts w:ascii="Arial" w:eastAsiaTheme="majorEastAsia" w:hAnsi="Arial" w:cstheme="majorBidi"/>
      <w:bCs/>
      <w:caps/>
      <w:sz w:val="28"/>
      <w:szCs w:val="26"/>
    </w:rPr>
  </w:style>
  <w:style w:type="paragraph" w:customStyle="1" w:styleId="Heading3Numbered">
    <w:name w:val="Heading 3 (Numbered)"/>
    <w:basedOn w:val="Heading3"/>
    <w:next w:val="BodyText"/>
    <w:uiPriority w:val="9"/>
    <w:qFormat/>
    <w:rsid w:val="00FA26D4"/>
    <w:pPr>
      <w:numPr>
        <w:ilvl w:val="2"/>
        <w:numId w:val="13"/>
      </w:numPr>
    </w:pPr>
  </w:style>
  <w:style w:type="character" w:customStyle="1" w:styleId="Heading3Char">
    <w:name w:val="Heading 3 Char"/>
    <w:basedOn w:val="DefaultParagraphFont"/>
    <w:link w:val="Heading3"/>
    <w:uiPriority w:val="8"/>
    <w:rsid w:val="00FA26D4"/>
    <w:rPr>
      <w:rFonts w:ascii="Arial" w:eastAsiaTheme="majorEastAsia" w:hAnsi="Arial" w:cstheme="majorBidi"/>
      <w:b/>
      <w:bCs/>
      <w:sz w:val="26"/>
    </w:rPr>
  </w:style>
  <w:style w:type="paragraph" w:customStyle="1" w:styleId="TitlePageDate">
    <w:name w:val="Title Page Date"/>
    <w:basedOn w:val="BodyText"/>
    <w:uiPriority w:val="12"/>
    <w:qFormat/>
    <w:rsid w:val="00FA26D4"/>
    <w:pPr>
      <w:spacing w:before="360" w:after="120" w:line="240" w:lineRule="auto"/>
    </w:pPr>
    <w:rPr>
      <w:rFonts w:cs="Arial"/>
      <w:color w:val="FFFFFF" w:themeColor="background1"/>
      <w:sz w:val="40"/>
      <w:szCs w:val="40"/>
      <w:lang w:val="en-US"/>
    </w:rPr>
  </w:style>
  <w:style w:type="paragraph" w:customStyle="1" w:styleId="InformationPageHeading">
    <w:name w:val="Information Page Heading"/>
    <w:basedOn w:val="BodyText"/>
    <w:uiPriority w:val="19"/>
    <w:qFormat/>
    <w:rsid w:val="00FA26D4"/>
    <w:pPr>
      <w:spacing w:before="360" w:after="0" w:line="300" w:lineRule="auto"/>
    </w:pPr>
    <w:rPr>
      <w:sz w:val="36"/>
      <w:szCs w:val="36"/>
    </w:rPr>
  </w:style>
  <w:style w:type="paragraph" w:customStyle="1" w:styleId="InformationPage-NoSpacing">
    <w:name w:val="Information Page - No Spacing"/>
    <w:basedOn w:val="BodyText"/>
    <w:uiPriority w:val="19"/>
    <w:qFormat/>
    <w:rsid w:val="00FA26D4"/>
    <w:pPr>
      <w:contextualSpacing/>
    </w:pPr>
  </w:style>
  <w:style w:type="paragraph" w:customStyle="1" w:styleId="GuidanceText">
    <w:name w:val="Guidance Text"/>
    <w:basedOn w:val="BodyText"/>
    <w:next w:val="BodyText"/>
    <w:uiPriority w:val="19"/>
    <w:qFormat/>
    <w:rsid w:val="00FA26D4"/>
    <w:rPr>
      <w:i/>
      <w:iCs/>
      <w:color w:val="0093B2" w:themeColor="text2"/>
    </w:rPr>
  </w:style>
  <w:style w:type="paragraph" w:customStyle="1" w:styleId="123">
    <w:name w:val="1 2 3"/>
    <w:basedOn w:val="BodyText"/>
    <w:uiPriority w:val="14"/>
    <w:qFormat/>
    <w:rsid w:val="00FA26D4"/>
    <w:pPr>
      <w:numPr>
        <w:numId w:val="14"/>
      </w:numPr>
      <w:spacing w:after="120" w:line="240" w:lineRule="atLeast"/>
    </w:pPr>
  </w:style>
  <w:style w:type="paragraph" w:customStyle="1" w:styleId="ABC">
    <w:name w:val="A B C"/>
    <w:basedOn w:val="BodyText"/>
    <w:uiPriority w:val="15"/>
    <w:qFormat/>
    <w:rsid w:val="00FA26D4"/>
    <w:pPr>
      <w:numPr>
        <w:numId w:val="16"/>
      </w:numPr>
      <w:spacing w:after="120" w:line="240" w:lineRule="atLeast"/>
    </w:pPr>
  </w:style>
  <w:style w:type="paragraph" w:customStyle="1" w:styleId="iiiiii">
    <w:name w:val="i  ii  iii"/>
    <w:basedOn w:val="BodyText"/>
    <w:uiPriority w:val="16"/>
    <w:qFormat/>
    <w:rsid w:val="00FA26D4"/>
    <w:pPr>
      <w:numPr>
        <w:ilvl w:val="1"/>
        <w:numId w:val="16"/>
      </w:numPr>
      <w:spacing w:after="120" w:line="240" w:lineRule="atLeast"/>
    </w:pPr>
  </w:style>
  <w:style w:type="paragraph" w:customStyle="1" w:styleId="TableText">
    <w:name w:val="Table Text"/>
    <w:basedOn w:val="BodyText"/>
    <w:uiPriority w:val="19"/>
    <w:qFormat/>
    <w:rsid w:val="00FA26D4"/>
    <w:pPr>
      <w:spacing w:before="120" w:after="120" w:line="240" w:lineRule="auto"/>
    </w:pPr>
    <w:rPr>
      <w:rFonts w:eastAsia="Times New Roman"/>
      <w:sz w:val="21"/>
      <w:szCs w:val="21"/>
      <w:lang w:eastAsia="en-NZ"/>
    </w:rPr>
  </w:style>
  <w:style w:type="paragraph" w:customStyle="1" w:styleId="iiiiii0">
    <w:name w:val="i ii iii"/>
    <w:basedOn w:val="Normal"/>
    <w:uiPriority w:val="19"/>
    <w:qFormat/>
    <w:rsid w:val="00FA26D4"/>
    <w:pPr>
      <w:spacing w:after="120" w:line="240" w:lineRule="atLeast"/>
    </w:pPr>
    <w:rPr>
      <w:rFonts w:cs="Arial"/>
    </w:rPr>
  </w:style>
  <w:style w:type="character" w:customStyle="1" w:styleId="Heading4Char">
    <w:name w:val="Heading 4 Char"/>
    <w:basedOn w:val="DefaultParagraphFont"/>
    <w:link w:val="Heading4"/>
    <w:uiPriority w:val="9"/>
    <w:rsid w:val="00FA26D4"/>
    <w:rPr>
      <w:rFonts w:ascii="Arial" w:eastAsiaTheme="majorEastAsia" w:hAnsi="Arial" w:cstheme="majorBidi"/>
      <w:b/>
      <w:i/>
      <w:iCs/>
      <w:sz w:val="24"/>
    </w:rPr>
  </w:style>
  <w:style w:type="character" w:customStyle="1" w:styleId="Heading7Char">
    <w:name w:val="Heading 7 Char"/>
    <w:basedOn w:val="DefaultParagraphFont"/>
    <w:link w:val="Heading7"/>
    <w:uiPriority w:val="9"/>
    <w:semiHidden/>
    <w:rsid w:val="00FA26D4"/>
    <w:rPr>
      <w:rFonts w:ascii="Arial" w:eastAsiaTheme="majorEastAsia" w:hAnsi="Arial" w:cstheme="majorBidi"/>
      <w:b/>
      <w:i/>
      <w:iCs/>
      <w:sz w:val="24"/>
    </w:rPr>
  </w:style>
  <w:style w:type="character" w:customStyle="1" w:styleId="Heading5Char">
    <w:name w:val="Heading 5 Char"/>
    <w:basedOn w:val="DefaultParagraphFont"/>
    <w:link w:val="Heading5"/>
    <w:uiPriority w:val="9"/>
    <w:rsid w:val="00FA26D4"/>
    <w:rPr>
      <w:rFonts w:ascii="Arial" w:eastAsiaTheme="majorEastAsia" w:hAnsi="Arial" w:cstheme="majorBidi"/>
      <w:i/>
      <w:sz w:val="24"/>
      <w:szCs w:val="20"/>
    </w:rPr>
  </w:style>
  <w:style w:type="character" w:customStyle="1" w:styleId="Heading8Char">
    <w:name w:val="Heading 8 Char"/>
    <w:basedOn w:val="DefaultParagraphFont"/>
    <w:link w:val="Heading8"/>
    <w:uiPriority w:val="9"/>
    <w:semiHidden/>
    <w:rsid w:val="00FA26D4"/>
    <w:rPr>
      <w:rFonts w:ascii="Arial" w:eastAsiaTheme="majorEastAsia" w:hAnsi="Arial" w:cstheme="majorBidi"/>
      <w:i/>
      <w:sz w:val="24"/>
      <w:szCs w:val="20"/>
    </w:rPr>
  </w:style>
  <w:style w:type="paragraph" w:styleId="Title">
    <w:name w:val="Title"/>
    <w:basedOn w:val="BodyText"/>
    <w:next w:val="Normal"/>
    <w:link w:val="TitleChar"/>
    <w:uiPriority w:val="10"/>
    <w:qFormat/>
    <w:rsid w:val="00FA26D4"/>
    <w:pPr>
      <w:spacing w:line="240" w:lineRule="auto"/>
    </w:pPr>
    <w:rPr>
      <w:rFonts w:cs="Arial"/>
      <w:b/>
      <w:color w:val="FFFFFF" w:themeColor="background1"/>
      <w:sz w:val="72"/>
      <w:szCs w:val="72"/>
      <w:lang w:val="en-US"/>
    </w:rPr>
  </w:style>
  <w:style w:type="character" w:customStyle="1" w:styleId="TitleChar">
    <w:name w:val="Title Char"/>
    <w:basedOn w:val="DefaultParagraphFont"/>
    <w:link w:val="Title"/>
    <w:uiPriority w:val="10"/>
    <w:rsid w:val="00FA26D4"/>
    <w:rPr>
      <w:rFonts w:ascii="Arial" w:hAnsi="Arial" w:cs="Arial"/>
      <w:b/>
      <w:color w:val="FFFFFF" w:themeColor="background1"/>
      <w:sz w:val="72"/>
      <w:szCs w:val="72"/>
      <w:lang w:val="en-US"/>
    </w:rPr>
  </w:style>
  <w:style w:type="paragraph" w:styleId="Subtitle">
    <w:name w:val="Subtitle"/>
    <w:basedOn w:val="BodyText"/>
    <w:next w:val="Normal"/>
    <w:link w:val="SubtitleChar"/>
    <w:uiPriority w:val="11"/>
    <w:qFormat/>
    <w:rsid w:val="00FA26D4"/>
    <w:pPr>
      <w:spacing w:before="360" w:after="120" w:line="240" w:lineRule="auto"/>
    </w:pPr>
    <w:rPr>
      <w:rFonts w:cs="Arial"/>
      <w:color w:val="FFFFFF" w:themeColor="background1"/>
      <w:sz w:val="52"/>
      <w:szCs w:val="52"/>
      <w:lang w:val="en-US"/>
    </w:rPr>
  </w:style>
  <w:style w:type="character" w:customStyle="1" w:styleId="SubtitleChar">
    <w:name w:val="Subtitle Char"/>
    <w:basedOn w:val="DefaultParagraphFont"/>
    <w:link w:val="Subtitle"/>
    <w:uiPriority w:val="11"/>
    <w:rsid w:val="00FA26D4"/>
    <w:rPr>
      <w:rFonts w:ascii="Arial" w:hAnsi="Arial" w:cs="Arial"/>
      <w:color w:val="FFFFFF" w:themeColor="background1"/>
      <w:sz w:val="52"/>
      <w:szCs w:val="52"/>
      <w:lang w:val="en-US"/>
    </w:rPr>
  </w:style>
  <w:style w:type="paragraph" w:styleId="NoSpacing">
    <w:name w:val="No Spacing"/>
    <w:uiPriority w:val="1"/>
    <w:qFormat/>
    <w:rsid w:val="00FA26D4"/>
    <w:pPr>
      <w:spacing w:after="0" w:line="240" w:lineRule="auto"/>
    </w:pPr>
    <w:rPr>
      <w:rFonts w:ascii="Arial" w:hAnsi="Arial"/>
    </w:rPr>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FA26D4"/>
    <w:pPr>
      <w:ind w:left="720"/>
      <w:contextualSpacing/>
    </w:pPr>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link w:val="ListParagraph"/>
    <w:uiPriority w:val="34"/>
    <w:qFormat/>
    <w:rsid w:val="00FA26D4"/>
    <w:rPr>
      <w:rFonts w:ascii="Arial" w:hAnsi="Arial"/>
    </w:rPr>
  </w:style>
  <w:style w:type="paragraph" w:styleId="TOCHeading">
    <w:name w:val="TOC Heading"/>
    <w:basedOn w:val="Heading1"/>
    <w:next w:val="Normal"/>
    <w:uiPriority w:val="39"/>
    <w:qFormat/>
    <w:rsid w:val="00FA26D4"/>
    <w:pPr>
      <w:spacing w:after="840"/>
    </w:pPr>
  </w:style>
  <w:style w:type="table" w:styleId="TableGrid">
    <w:name w:val="Table Grid"/>
    <w:basedOn w:val="TableNormal"/>
    <w:uiPriority w:val="59"/>
    <w:rsid w:val="00CB1221"/>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B1221"/>
    <w:pPr>
      <w:widowControl w:val="0"/>
      <w:spacing w:after="0" w:line="276" w:lineRule="auto"/>
      <w:ind w:left="107"/>
    </w:pPr>
    <w:rPr>
      <w:rFonts w:ascii="Calibri" w:eastAsia="Yu Mincho" w:hAnsi="Calibri" w:cs="Calibri"/>
      <w:sz w:val="24"/>
      <w:szCs w:val="24"/>
      <w:lang w:eastAsia="en-NZ"/>
    </w:rPr>
  </w:style>
  <w:style w:type="paragraph" w:customStyle="1" w:styleId="paragraph">
    <w:name w:val="paragraph"/>
    <w:basedOn w:val="Normal"/>
    <w:rsid w:val="00CB1221"/>
    <w:pPr>
      <w:spacing w:before="100" w:beforeAutospacing="1" w:after="100" w:afterAutospacing="1" w:line="240" w:lineRule="auto"/>
    </w:pPr>
    <w:rPr>
      <w:rFonts w:ascii="Calibri" w:hAnsi="Calibri" w:cs="Calibri"/>
      <w:lang w:eastAsia="en-NZ"/>
    </w:rPr>
  </w:style>
  <w:style w:type="paragraph" w:styleId="Revision">
    <w:name w:val="Revision"/>
    <w:hidden/>
    <w:uiPriority w:val="99"/>
    <w:semiHidden/>
    <w:rsid w:val="003D0E56"/>
    <w:pPr>
      <w:spacing w:after="0" w:line="240" w:lineRule="auto"/>
    </w:pPr>
    <w:rPr>
      <w:rFonts w:ascii="Arial" w:hAnsi="Arial"/>
    </w:rPr>
  </w:style>
  <w:style w:type="character" w:styleId="CommentReference">
    <w:name w:val="annotation reference"/>
    <w:basedOn w:val="DefaultParagraphFont"/>
    <w:uiPriority w:val="99"/>
    <w:semiHidden/>
    <w:unhideWhenUsed/>
    <w:rsid w:val="00DE6BCB"/>
    <w:rPr>
      <w:sz w:val="16"/>
      <w:szCs w:val="16"/>
    </w:rPr>
  </w:style>
  <w:style w:type="paragraph" w:styleId="CommentText">
    <w:name w:val="annotation text"/>
    <w:basedOn w:val="Normal"/>
    <w:link w:val="CommentTextChar"/>
    <w:uiPriority w:val="99"/>
    <w:unhideWhenUsed/>
    <w:rsid w:val="00DE6BCB"/>
    <w:pPr>
      <w:spacing w:line="240" w:lineRule="auto"/>
    </w:pPr>
    <w:rPr>
      <w:sz w:val="20"/>
      <w:szCs w:val="20"/>
    </w:rPr>
  </w:style>
  <w:style w:type="character" w:customStyle="1" w:styleId="CommentTextChar">
    <w:name w:val="Comment Text Char"/>
    <w:basedOn w:val="DefaultParagraphFont"/>
    <w:link w:val="CommentText"/>
    <w:uiPriority w:val="99"/>
    <w:rsid w:val="00DE6BC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6BCB"/>
    <w:rPr>
      <w:b/>
      <w:bCs/>
    </w:rPr>
  </w:style>
  <w:style w:type="character" w:customStyle="1" w:styleId="CommentSubjectChar">
    <w:name w:val="Comment Subject Char"/>
    <w:basedOn w:val="CommentTextChar"/>
    <w:link w:val="CommentSubject"/>
    <w:uiPriority w:val="99"/>
    <w:semiHidden/>
    <w:rsid w:val="00DE6BCB"/>
    <w:rPr>
      <w:rFonts w:ascii="Arial" w:hAnsi="Arial"/>
      <w:b/>
      <w:bCs/>
      <w:sz w:val="20"/>
      <w:szCs w:val="20"/>
    </w:rPr>
  </w:style>
  <w:style w:type="paragraph" w:styleId="Header">
    <w:name w:val="header"/>
    <w:basedOn w:val="Normal"/>
    <w:link w:val="HeaderChar"/>
    <w:uiPriority w:val="99"/>
    <w:unhideWhenUsed/>
    <w:rsid w:val="00353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2F7"/>
    <w:rPr>
      <w:rFonts w:ascii="Arial" w:hAnsi="Arial"/>
    </w:rPr>
  </w:style>
  <w:style w:type="paragraph" w:styleId="Footer">
    <w:name w:val="footer"/>
    <w:basedOn w:val="Normal"/>
    <w:link w:val="FooterChar"/>
    <w:uiPriority w:val="99"/>
    <w:unhideWhenUsed/>
    <w:rsid w:val="00353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2F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HPA">
      <a:dk1>
        <a:sysClr val="windowText" lastClr="000000"/>
      </a:dk1>
      <a:lt1>
        <a:sysClr val="window" lastClr="FFFFFF"/>
      </a:lt1>
      <a:dk2>
        <a:srgbClr val="0093B2"/>
      </a:dk2>
      <a:lt2>
        <a:srgbClr val="EEECE1"/>
      </a:lt2>
      <a:accent1>
        <a:srgbClr val="0093B2"/>
      </a:accent1>
      <a:accent2>
        <a:srgbClr val="84BD00"/>
      </a:accent2>
      <a:accent3>
        <a:srgbClr val="ED8B00"/>
      </a:accent3>
      <a:accent4>
        <a:srgbClr val="FFD100"/>
      </a:accent4>
      <a:accent5>
        <a:srgbClr val="833177"/>
      </a:accent5>
      <a:accent6>
        <a:srgbClr val="F79646"/>
      </a:accent6>
      <a:hlink>
        <a:srgbClr val="0093B2"/>
      </a:hlink>
      <a:folHlink>
        <a:srgbClr val="00206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Sturt</dc:creator>
  <cp:keywords/>
  <dc:description/>
  <cp:lastModifiedBy>Emily Robertson</cp:lastModifiedBy>
  <cp:revision>2</cp:revision>
  <dcterms:created xsi:type="dcterms:W3CDTF">2023-11-05T20:15:00Z</dcterms:created>
  <dcterms:modified xsi:type="dcterms:W3CDTF">2023-11-05T20:15:00Z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
  </property>
  <property fmtid="{D5CDD505-2E9C-101B-9397-08002B2CF9AE}" pid="3" name="HPNZ.imProfileDocNum">
    <vt:r8>0</vt:r8>
  </property>
  <property fmtid="{D5CDD505-2E9C-101B-9397-08002B2CF9AE}" pid="4" name="HPNZ.imProfileVersion">
    <vt:i4>0</vt:i4>
  </property>
</Properties>
</file>